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1.png" ContentType="image/png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zh-CN"/>
        </w:rPr>
        <w:t xml:space="preserve">2026 </w:t>
      </w:r>
      <w:r>
        <w:rPr>
          <w:rFonts w:hint="eastAsia"/>
          <w:lang w:val="zh-CN"/>
        </w:rPr>
        <w:t xml:space="preserve">年第三季度经营分析报告</w:t>
      </w:r>
    </w:p>
    <w:p>
      <w:pPr>
        <w:pStyle w:val="Subtitle"/>
      </w:pPr>
      <w:r>
        <w:rPr>
          <w:rFonts w:hint="eastAsia"/>
          <w:lang w:val="zh-CN"/>
        </w:rPr>
        <w:t xml:space="preserve">华东区域</w:t>
      </w:r>
      <w:r>
        <w:rPr>
          <w:lang w:val="zh-CN"/>
        </w:rPr>
        <w:t xml:space="preserve"> · </w:t>
      </w:r>
      <w:r>
        <w:rPr>
          <w:rFonts w:hint="eastAsia"/>
          <w:lang w:val="zh-CN"/>
        </w:rPr>
        <w:t xml:space="preserve">季度复盘</w:t>
      </w:r>
    </w:p>
    <w:p>
      <w:pPr>
        <w:pStyle w:val="Author"/>
      </w:pPr>
      <w:r>
        <w:rPr>
          <w:rFonts w:hint="eastAsia"/>
          <w:lang w:val="zh-CN"/>
        </w:rPr>
        <w:t xml:space="preserve">经营管理部</w:t>
      </w:r>
    </w:p>
    <w:p>
      <w:pPr>
        <w:pStyle w:val="Date"/>
      </w:pPr>
      <w:r>
        <w:rPr>
          <w:lang w:val="zh-CN"/>
        </w:rPr>
        <w:t xml:space="preserve">2026-10-15</w:t>
      </w:r>
    </w:p>
    <w:p>
      <w:pPr>
        <w:pStyle w:val="Heading1"/>
      </w:pPr>
      <w:bookmarkStart w:id="17" w:name="df_db520e2980"/>
      <w:r>
        <w:rPr>
          <w:rFonts w:hint="eastAsia"/>
          <w:lang w:val="zh-CN"/>
        </w:rPr>
        <w:t xml:space="preserve">一、总体情况</w:t>
      </w:r>
      <w:bookmarkEnd w:id="17"/>
    </w:p>
    <w:p>
      <w:pPr>
        <w:pStyle w:val="FirstParagraph"/>
      </w:pPr>
      <w:r>
        <w:rPr>
          <w:rFonts w:hint="eastAsia"/>
          <w:lang w:val="zh-CN"/>
        </w:rPr>
        <w:t xml:space="preserve">第三季度华东区域实现营业收入</w:t>
      </w:r>
      <w:r>
        <w:rPr>
          <w:lang w:val="zh-CN"/>
        </w:rPr>
        <w:t xml:space="preserve"> </w:t>
      </w:r>
      <w:r>
        <w:rPr>
          <w:b/>
          <w:bCs/>
          <w:lang w:val="zh-CN"/>
        </w:rPr>
        <w:t xml:space="preserve">4.86 </w:t>
      </w:r>
      <w:r>
        <w:rPr>
          <w:rFonts w:hint="eastAsia"/>
          <w:b/>
          <w:bCs/>
          <w:lang w:val="zh-CN"/>
        </w:rPr>
        <w:t xml:space="preserve">亿元</w:t>
      </w:r>
      <w:r>
        <w:rPr>
          <w:rFonts w:hint="eastAsia"/>
          <w:lang w:val="zh-CN"/>
        </w:rPr>
        <w:t xml:space="preserve">，同比增长</w:t>
      </w:r>
      <w:r>
        <w:rPr>
          <w:lang w:val="zh-CN"/>
        </w:rPr>
        <w:t xml:space="preserve"> </w:t>
      </w:r>
      <w:r>
        <w:rPr>
          <w:rStyle w:val="DFChar3"/>
          <w:lang w:val="zh-CN"/>
        </w:rPr>
        <w:t xml:space="preserve">18.4%</w:t>
      </w:r>
      <w:r>
        <w:rPr>
          <w:rFonts w:hint="eastAsia"/>
          <w:lang w:val="zh-CN"/>
        </w:rPr>
        <w:t xml:space="preserve">，环比增长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6.2%；毛利率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32.7%，较上季度提高</w:t>
      </w:r>
      <w:r>
        <w:rPr>
          <w:lang w:val="zh-CN"/>
        </w:rPr>
        <w:t xml:space="preserve"> 1.1 </w:t>
      </w:r>
      <w:r>
        <w:rPr>
          <w:rFonts w:hint="eastAsia"/>
          <w:lang w:val="zh-CN"/>
        </w:rPr>
        <w:t xml:space="preserve">个百分点。新签合同</w:t>
      </w:r>
      <w:r>
        <w:rPr>
          <w:lang w:val="zh-CN"/>
        </w:rPr>
        <w:t xml:space="preserve"> 214 </w:t>
      </w:r>
      <w:r>
        <w:rPr>
          <w:rFonts w:hint="eastAsia"/>
          <w:lang w:val="zh-CN"/>
        </w:rPr>
        <w:t xml:space="preserve">份，其中千万元以上项目</w:t>
      </w:r>
      <w:r>
        <w:rPr>
          <w:lang w:val="zh-CN"/>
        </w:rPr>
        <w:t xml:space="preserve"> 9 </w:t>
      </w:r>
      <w:r>
        <w:rPr>
          <w:rFonts w:hint="eastAsia"/>
          <w:lang w:val="zh-CN"/>
        </w:rPr>
        <w:t xml:space="preserve">个。</w:t>
      </w:r>
    </w:p>
    <w:p>
      <w:pPr>
        <w:pStyle w:val="DFPara2"/>
      </w:pPr>
      <w:r>
        <w:rPr>
          <w:rFonts w:hint="eastAsia"/>
          <w:b/>
          <w:bCs/>
          <w:lang w:val="zh-CN"/>
        </w:rPr>
        <w:t xml:space="preserve">注意</w:t>
      </w:r>
    </w:p>
    <w:p>
      <w:pPr>
        <w:pStyle w:val="DFPara1"/>
      </w:pPr>
      <w:r>
        <w:rPr>
          <w:rFonts w:hint="eastAsia"/>
          <w:lang w:val="zh-CN"/>
        </w:rPr>
        <w:t xml:space="preserve">本报告数据截至</w:t>
      </w:r>
      <w:r>
        <w:rPr>
          <w:lang w:val="zh-CN"/>
        </w:rPr>
        <w:t xml:space="preserve"> 2026 </w:t>
      </w:r>
      <w:r>
        <w:rPr>
          <w:rFonts w:hint="eastAsia"/>
          <w:lang w:val="zh-CN"/>
        </w:rPr>
        <w:t xml:space="preserve">年</w:t>
      </w:r>
      <w:r>
        <w:rPr>
          <w:lang w:val="zh-CN"/>
        </w:rPr>
        <w:t xml:space="preserve"> 9 </w:t>
      </w:r>
      <w:r>
        <w:rPr>
          <w:rFonts w:hint="eastAsia"/>
          <w:lang w:val="zh-CN"/>
        </w:rPr>
        <w:t xml:space="preserve">月</w:t>
      </w:r>
      <w:r>
        <w:rPr>
          <w:lang w:val="zh-CN"/>
        </w:rPr>
        <w:t xml:space="preserve"> 30 </w:t>
      </w:r>
      <w:r>
        <w:rPr>
          <w:rFonts w:hint="eastAsia"/>
          <w:lang w:val="zh-CN"/>
        </w:rPr>
        <w:t xml:space="preserve">日，口径与年度预算一致。</w:t>
      </w:r>
    </w:p>
    <w:p>
      <w:pPr>
        <w:pStyle w:val="Heading2"/>
      </w:pPr>
      <w:bookmarkStart w:id="16" w:name="df_bc6eba7db3"/>
      <w:r>
        <w:rPr>
          <w:lang w:val="zh-CN"/>
        </w:rPr>
        <w:t xml:space="preserve">1.1 </w:t>
      </w:r>
      <w:r>
        <w:rPr>
          <w:rFonts w:hint="eastAsia"/>
          <w:lang w:val="zh-CN"/>
        </w:rPr>
        <w:t xml:space="preserve">分产品收入</w:t>
      </w:r>
      <w:bookmarkEnd w:id="16"/>
    </w:p>
    <w:p>
      <w:pPr>
        <w:pStyle w:val="TableCaption"/>
      </w:pPr>
      <w:bookmarkStart w:id="10" w:name="tbl_rev"/>
      <w:bookmarkStart w:id="9" w:name="tbl_rev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1</w:t>
        </w:r>
      </w:fldSimple>
      <w:bookmarkEnd w:id="9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第三季度分产品收入</w:t>
      </w:r>
      <w:bookmarkEnd w:id="10"/>
    </w:p>
    <w:tbl>
      <w:tblPr>
        <w:tblStyle w:val="Table"/>
        <w:tblW w:type="dxa" w:w="4568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第三季度分产品收入"/>
      </w:tblPr>
      <w:tblGrid>
        <w:gridCol w:w="1320"/>
        <w:gridCol w:w="1523"/>
        <w:gridCol w:w="913"/>
        <w:gridCol w:w="812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产品线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收入（万元）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同比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FFFFFF"/>
                <w:lang w:val="zh-CN"/>
              </w:rPr>
              <w:t xml:space="preserve">占比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企业软件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21,630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+22.5%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44.5%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云服务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15,240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+31.8%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31.4%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咨询与实施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8,120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−3.6%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16.7%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硬件集成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3,610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+4.2%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7.4%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lang w:val="zh-CN"/>
              </w:rPr>
              <w:t xml:space="preserve">合计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48,600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+18.4%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100%</w:t>
            </w:r>
          </w:p>
        </w:tc>
      </w:tr>
    </w:tbl>
    <w:p>
      <w:pPr>
        <w:pStyle w:val="BodyText"/>
      </w:pPr>
      <w:r>
        <w:rPr>
          <w:rFonts w:hint="eastAsia"/>
          <w:lang w:val="zh-CN"/>
        </w:rPr>
        <w:t xml:space="preserve">云服务收入增速最快（见</w:t>
      </w:r>
      <w:r>
        <w:rPr>
          <w:lang w:val="zh-CN"/>
        </w:rPr>
        <w:t xml:space="preserve"> </w:t>
      </w:r>
      <w:hyperlink w:anchor="tbl_rev">
        <w:r>
          <w:rPr>
            <w:rStyle w:val="Hyperlink"/>
            <w:rFonts w:hint="eastAsia"/>
            <w:lang w:val="zh-CN"/>
          </w:rPr>
          <w:t xml:space="preserve">表</w:t>
        </w:r>
        <w:r>
          <w:rPr>
            <w:rStyle w:val="Hyperlink"/>
            <w:lang w:val="zh-CN"/>
          </w:rPr>
          <w:t xml:space="preserve"> 1</w:t>
        </w:r>
      </w:hyperlink>
      <w:r>
        <w:rPr>
          <w:rFonts w:hint="eastAsia"/>
          <w:lang w:val="zh-CN"/>
        </w:rPr>
        <w:t xml:space="preserve">），主要来自制造业客户的私有化部署。</w:t>
      </w:r>
    </w:p>
    <w:p>
      <w:pPr>
        <w:pStyle w:val="CaptionedFigure"/>
      </w:pPr>
      <w:bookmarkStart w:id="15" w:name="fig_trend"/>
      <w:r>
        <w:drawing>
          <wp:inline>
            <wp:extent cx="5062728" cy="2657932"/>
            <wp:effectExtent b="0" l="0" r="0" t="0"/>
            <wp:docPr descr="月度收入与毛利率" title="" id="12" name="Picture"/>
            <a:graphic>
              <a:graphicData uri="http://schemas.openxmlformats.org/drawingml/2006/picture">
                <pic:pic>
                  <pic:nvPicPr>
                    <pic:cNvPr descr="/var/folders/bl/5n_h09gn4dsd1gktj5qcv54w0000gn/T/docforge-wv9qc64i/media-docx/image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728" cy="26579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5"/>
    </w:p>
    <w:p>
      <w:pPr>
        <w:pStyle w:val="ImageCaption"/>
      </w:pPr>
      <w:bookmarkStart w:id="14" w:name="ref_fig_trend"/>
      <w:r>
        <w:rPr>
          <w:rFonts w:hint="eastAsia"/>
          <w:lang w:val="zh-CN"/>
        </w:rPr>
        <w:t xml:space="preserve">图</w:t>
      </w:r>
      <w:r>
        <w:rPr>
          <w:lang w:val="zh-CN"/>
        </w:rPr>
        <w:t xml:space="preserve"> </w:t>
      </w:r>
      <w:fldSimple w:instr="SEQ Figure \* ARABIC ">
        <w:r>
          <w:t>1</w:t>
        </w:r>
      </w:fldSimple>
      <w:bookmarkEnd w:id="14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月度收入与毛利率</w:t>
      </w:r>
    </w:p>
    <w:p>
      <w:pPr>
        <w:pStyle w:val="Heading1"/>
      </w:pPr>
      <w:bookmarkStart w:id="18" w:name="df_82ac6d7083"/>
      <w:r>
        <w:rPr>
          <w:rFonts w:hint="eastAsia"/>
          <w:lang w:val="zh-CN"/>
        </w:rPr>
        <w:t xml:space="preserve">二、下季度安排</w:t>
      </w:r>
      <w:bookmarkEnd w:id="18"/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加快云服务交付团队建设，新增实施顾问</w:t>
      </w:r>
      <w:r>
        <w:rPr>
          <w:lang w:val="zh-CN"/>
        </w:rPr>
        <w:t xml:space="preserve"> 30 </w:t>
      </w:r>
      <w:r>
        <w:rPr>
          <w:rFonts w:hint="eastAsia"/>
          <w:lang w:val="zh-CN"/>
        </w:rPr>
        <w:t xml:space="preserve">人；</w:t>
      </w:r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咨询业务聚焦存量客户续约，目标续约率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85%；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lang w:val="zh-CN"/>
        </w:rPr>
        <w:t xml:space="preserve">控制销售费用率在</w:t>
      </w:r>
      <w:r>
        <w:rPr>
          <w:lang w:val="zh-CN"/>
        </w:rPr>
        <w:t xml:space="preserve"> 12% </w:t>
      </w:r>
      <w:r>
        <w:rPr>
          <w:rFonts w:hint="eastAsia"/>
          <w:lang w:val="zh-CN"/>
        </w:rPr>
        <w:t xml:space="preserve">以内。</w:t>
      </w:r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t xml:space="preserve">第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页  共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页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2026 年第三季度经营分析报告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394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1F4E79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pBdr>
        <w:bottom w:color="9AAFC3" w:space="4" w:sz="6" w:val="single"/>
      </w:pBdr>
      <w:spacing w:after="160" w:before="360" w:line="300" w:lineRule="auto"/>
      <w:ind w:firstLine="0" w:firstLineChars="0"/>
      <w:jc w:val="left"/>
      <w:outlineLvl w:val="0"/>
    </w:pPr>
    <w:rPr>
      <w:rFonts w:ascii="Arial" w:cs="Arial" w:eastAsia="黑体" w:hAnsi="Arial" w:hint="eastAsia"/>
      <w:b/>
      <w:bCs/>
      <w:color w:val="1F4E79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1F4E79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1F4E79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1F4E79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1F4E79"/>
      <w:sz w:val="40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1F4E79"/>
      <w:sz w:val="32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1F4E79"/>
      <w:sz w:val="28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1F4E79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48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1565C0"/>
      </w:pBdr>
      <w:shd w:val="clear" w:color="auto" w:fill="EFF4FB"/>
      <w:spacing w:before="0" w:after="0" w:line="348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1565C0"/>
      </w:pBdr>
      <w:shd w:val="clear" w:color="auto" w:fill="EFF4FB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1565C0"/>
    </w:rPr>
  </w:style>
  <w:style w:type="character" w:customStyle="1" w:styleId="DFChar3">
    <w:name w:val="DF Char 3"/>
    <w:rPr>
      <w:color w:val="2E7D32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image" Id="rId11" Target="media/rId11.png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年第三季度经营分析报告</dc:title>
  <dc:creator>经营管理部</dc:creator>
  <dc:language>zh-CN</dc:language>
  <cp:keywords/>
  <dcterms:created xsi:type="dcterms:W3CDTF">2026-10-27T10:29:00Z</dcterms:created>
  <dcterms:modified xsi:type="dcterms:W3CDTF">2026-10-27T10:29:00Z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摘要</vt:lpwstr>
  </property>
  <property fmtid="{D5CDD505-2E9C-101B-9397-08002B2CF9AE}" pid="3" name="date">
    <vt:lpwstr>2026-10-15</vt:lpwstr>
  </property>
  <property fmtid="{D5CDD505-2E9C-101B-9397-08002B2CF9AE}" pid="4" name="subtitle">
    <vt:lpwstr>华东区域 · 季度复盘</vt:lpwstr>
  </property>
</Properties>
</file>