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1.png" ContentType="image/png"/>
  <Override PartName="/word/header1.xml" ContentType="application/vnd.openxmlformats-officedocument.wordprocessingml.head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  <w:lang w:val="ja-JP"/>
        </w:rPr>
        <w:t xml:space="preserve">2026年度</w:t>
      </w:r>
      <w:r>
        <w:rPr>
          <w:lang w:val="ja-JP"/>
        </w:rPr>
        <w:t xml:space="preserve"> </w:t>
      </w:r>
      <w:r>
        <w:rPr>
          <w:rFonts w:hint="eastAsia"/>
          <w:lang w:val="ja-JP"/>
        </w:rPr>
        <w:t xml:space="preserve">第3四半期</w:t>
      </w:r>
      <w:r>
        <w:rPr>
          <w:lang w:val="ja-JP"/>
        </w:rPr>
        <w:t xml:space="preserve"> </w:t>
      </w:r>
      <w:r>
        <w:rPr>
          <w:rFonts w:hint="eastAsia"/>
          <w:lang w:val="ja-JP"/>
        </w:rPr>
        <w:t xml:space="preserve">事業報告</w:t>
      </w:r>
    </w:p>
    <w:p>
      <w:pPr>
        <w:pStyle w:val="Subtitle"/>
      </w:pPr>
      <w:r>
        <w:rPr>
          <w:rFonts w:hint="eastAsia"/>
          <w:lang w:val="ja-JP"/>
        </w:rPr>
        <w:t xml:space="preserve">東日本地域</w:t>
      </w:r>
      <w:r>
        <w:rPr>
          <w:lang w:val="ja-JP"/>
        </w:rPr>
        <w:t xml:space="preserve"> · </w:t>
      </w:r>
      <w:r>
        <w:rPr>
          <w:rFonts w:hint="eastAsia"/>
          <w:lang w:val="ja-JP"/>
        </w:rPr>
        <w:t xml:space="preserve">四半期レビュー</w:t>
      </w:r>
    </w:p>
    <w:p>
      <w:pPr>
        <w:pStyle w:val="Author"/>
      </w:pPr>
      <w:r>
        <w:rPr>
          <w:rFonts w:hint="eastAsia"/>
          <w:lang w:val="ja-JP"/>
        </w:rPr>
        <w:t xml:space="preserve">経営企画部</w:t>
      </w:r>
    </w:p>
    <w:p>
      <w:pPr>
        <w:pStyle w:val="Date"/>
      </w:pPr>
      <w:r>
        <w:rPr>
          <w:rFonts w:hint="eastAsia"/>
          <w:lang w:val="ja-JP"/>
        </w:rPr>
        <w:t xml:space="preserve">2026年10月15日</w:t>
      </w:r>
    </w:p>
    <w:p>
      <w:pPr>
        <w:pStyle w:val="Heading1"/>
      </w:pPr>
      <w:bookmarkStart w:id="17" w:name="df_fe46f78343"/>
      <w:r>
        <w:rPr>
          <w:rFonts w:hint="eastAsia"/>
          <w:lang w:val="ja-JP"/>
        </w:rPr>
        <w:t xml:space="preserve">概況</w:t>
      </w:r>
      <w:bookmarkEnd w:id="17"/>
    </w:p>
    <w:p>
      <w:pPr>
        <w:pStyle w:val="FirstParagraph"/>
      </w:pPr>
      <w:r>
        <w:rPr>
          <w:rFonts w:hint="eastAsia"/>
          <w:lang w:val="ja-JP"/>
        </w:rPr>
        <w:t xml:space="preserve">第3四半期の東日本地域の売上高は</w:t>
      </w:r>
      <w:r>
        <w:rPr>
          <w:rFonts w:hint="eastAsia"/>
          <w:b/>
          <w:bCs/>
          <w:lang w:val="ja-JP"/>
        </w:rPr>
        <w:t xml:space="preserve">98.4億円</w:t>
      </w:r>
      <w:r>
        <w:rPr>
          <w:rFonts w:hint="eastAsia"/>
          <w:lang w:val="ja-JP"/>
        </w:rPr>
        <w:t xml:space="preserve">となり、前年同期比</w:t>
      </w:r>
      <w:r>
        <w:rPr>
          <w:rStyle w:val="DFChar3"/>
          <w:lang w:val="ja-JP"/>
        </w:rPr>
        <w:t xml:space="preserve">18.4%</w:t>
      </w:r>
      <w:r>
        <w:rPr>
          <w:rFonts w:hint="eastAsia"/>
          <w:lang w:val="ja-JP"/>
        </w:rPr>
        <w:t xml:space="preserve">増、前四半期比6.2%増となりました。売上総利益率は32.7%で、前四半期から1.1ポイント改善しています。新規契約は214件で、うち2億円以上の大型案件が9件でした。</w:t>
      </w:r>
    </w:p>
    <w:p>
      <w:pPr>
        <w:pStyle w:val="DFPara2"/>
      </w:pPr>
      <w:r>
        <w:rPr>
          <w:rFonts w:hint="eastAsia"/>
          <w:b/>
          <w:bCs/>
          <w:lang w:val="ja-JP"/>
        </w:rPr>
        <w:t xml:space="preserve">注記</w:t>
      </w:r>
    </w:p>
    <w:p>
      <w:pPr>
        <w:pStyle w:val="DFPara1"/>
      </w:pPr>
      <w:r>
        <w:rPr>
          <w:rFonts w:hint="eastAsia"/>
          <w:lang w:val="ja-JP"/>
        </w:rPr>
        <w:t xml:space="preserve">数値は2026年9月30日時点のもので、年間予算と同じ基準で集計しています。</w:t>
      </w:r>
    </w:p>
    <w:p>
      <w:pPr>
        <w:pStyle w:val="Heading2"/>
      </w:pPr>
      <w:bookmarkStart w:id="16" w:name="df_a2333378f0"/>
      <w:r>
        <w:rPr>
          <w:rFonts w:hint="eastAsia"/>
          <w:lang w:val="ja-JP"/>
        </w:rPr>
        <w:t xml:space="preserve">製品別売上高</w:t>
      </w:r>
      <w:bookmarkEnd w:id="16"/>
    </w:p>
    <w:p>
      <w:pPr>
        <w:pStyle w:val="TableCaption"/>
      </w:pPr>
      <w:bookmarkStart w:id="10" w:name="tbl_rev"/>
      <w:bookmarkStart w:id="9" w:name="tbl_rev"/>
      <w:r>
        <w:rPr>
          <w:rFonts w:hint="eastAsia"/>
          <w:lang w:val="ja-JP"/>
        </w:rPr>
        <w:t xml:space="preserve">表</w:t>
      </w:r>
      <w:r>
        <w:rPr>
          <w:lang w:val="ja-JP"/>
        </w:rPr>
        <w:t xml:space="preserve"> </w:t>
      </w:r>
      <w:fldSimple w:instr="SEQ Table \* ARABIC ">
        <w:r>
          <w:t>1</w:t>
        </w:r>
      </w:fldSimple>
      <w:bookmarkEnd w:id="9"/>
      <w:r>
        <w:rPr>
          <w:lang w:val="ja-JP"/>
        </w:rPr>
        <w:t xml:space="preserve">　</w:t>
      </w:r>
      <w:r>
        <w:rPr>
          <w:rFonts w:hint="eastAsia"/>
          <w:lang w:val="ja-JP"/>
        </w:rPr>
        <w:t xml:space="preserve">第3四半期</w:t>
      </w:r>
      <w:r>
        <w:rPr>
          <w:lang w:val="ja-JP"/>
        </w:rPr>
        <w:t xml:space="preserve"> </w:t>
      </w:r>
      <w:r>
        <w:rPr>
          <w:rFonts w:hint="eastAsia"/>
          <w:lang w:val="ja-JP"/>
        </w:rPr>
        <w:t xml:space="preserve">製品別売上高</w:t>
      </w:r>
      <w:bookmarkEnd w:id="10"/>
    </w:p>
    <w:tbl>
      <w:tblPr>
        <w:tblStyle w:val="Table"/>
        <w:tblW w:type="dxa" w:w="6091"/>
        <w:jc w:val="center"/>
        <w:tblBorders>
          <w:top w:val="single" w:sz="4" w:space="0" w:color="C9D1DB"/>
          <w:left w:val="single" w:sz="4" w:space="0" w:color="C9D1DB"/>
          <w:bottom w:val="single" w:sz="4" w:space="0" w:color="C9D1DB"/>
          <w:right w:val="single" w:sz="4" w:space="0" w:color="C9D1DB"/>
          <w:insideH w:val="single" w:sz="4" w:space="0" w:color="C9D1DB"/>
          <w:insideV w:val="single" w:sz="4" w:space="0" w:color="C9D1DB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第3四半期 製品別売上高"/>
      </w:tblPr>
      <w:tblGrid>
        <w:gridCol w:w="1929"/>
        <w:gridCol w:w="1929"/>
        <w:gridCol w:w="1320"/>
        <w:gridCol w:w="913"/>
      </w:tblGrid>
      <w:tr>
        <w:trPr>
          <w:cantSplit/>
          <w:tblHeader w:val="on"/>
        </w:trPr>
        <w:tc>
          <w:tcPr>
            <w:shd w:val="clear" w:color="auto" w:fill="1F4E79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FFFFFF"/>
                <w:lang w:val="ja-JP"/>
              </w:rPr>
              <w:t xml:space="preserve">製品ライン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rFonts w:hint="eastAsia"/>
                <w:b/>
                <w:bCs/>
                <w:color w:val="FFFFFF"/>
                <w:lang w:val="ja-JP"/>
              </w:rPr>
              <w:t xml:space="preserve">売上高（百万円）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rFonts w:hint="eastAsia"/>
                <w:b/>
                <w:bCs/>
                <w:color w:val="FFFFFF"/>
                <w:lang w:val="ja-JP"/>
              </w:rPr>
              <w:t xml:space="preserve">前年同期比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rFonts w:hint="eastAsia"/>
                <w:b/>
                <w:bCs/>
                <w:color w:val="FFFFFF"/>
                <w:lang w:val="ja-JP"/>
              </w:rPr>
              <w:t xml:space="preserve">構成比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ja-JP"/>
              </w:rPr>
              <w:t xml:space="preserve">業務ソフトウェア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ja-JP"/>
              </w:rPr>
              <w:t xml:space="preserve">4,379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ja-JP"/>
              </w:rPr>
              <w:t xml:space="preserve">+22.5%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ja-JP"/>
              </w:rPr>
              <w:t xml:space="preserve">44.5%</w:t>
            </w:r>
          </w:p>
        </w:tc>
      </w:tr>
      <w:tr>
        <w:trPr>
          <w:cantSplit/>
        </w:trPr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lang w:val="ja-JP"/>
              </w:rPr>
              <w:t xml:space="preserve">クラウドサービス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ja-JP"/>
              </w:rPr>
              <w:t xml:space="preserve">3,090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ja-JP"/>
              </w:rPr>
              <w:t xml:space="preserve">+31.8%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ja-JP"/>
              </w:rPr>
              <w:t xml:space="preserve">31.4%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ja-JP"/>
              </w:rPr>
              <w:t xml:space="preserve">コンサルティング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ja-JP"/>
              </w:rPr>
              <w:t xml:space="preserve">1,643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ja-JP"/>
              </w:rPr>
              <w:t xml:space="preserve">−3.6%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ja-JP"/>
              </w:rPr>
              <w:t xml:space="preserve">16.7%</w:t>
            </w:r>
          </w:p>
        </w:tc>
      </w:tr>
      <w:tr>
        <w:trPr>
          <w:cantSplit/>
        </w:trPr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lang w:val="ja-JP"/>
              </w:rPr>
              <w:t xml:space="preserve">ハードウェア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ja-JP"/>
              </w:rPr>
              <w:t xml:space="preserve">728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ja-JP"/>
              </w:rPr>
              <w:t xml:space="preserve">+4.2%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ja-JP"/>
              </w:rPr>
              <w:t xml:space="preserve">7.4%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lang w:val="ja-JP"/>
              </w:rPr>
              <w:t xml:space="preserve">合計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ja-JP"/>
              </w:rPr>
              <w:t xml:space="preserve">9,840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ja-JP"/>
              </w:rPr>
              <w:t xml:space="preserve">+18.4%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ja-JP"/>
              </w:rPr>
              <w:t xml:space="preserve">100%</w:t>
            </w:r>
          </w:p>
        </w:tc>
      </w:tr>
    </w:tbl>
    <w:p>
      <w:pPr>
        <w:pStyle w:val="BodyText"/>
      </w:pPr>
      <w:r>
        <w:rPr>
          <w:rFonts w:hint="eastAsia"/>
          <w:lang w:val="ja-JP"/>
        </w:rPr>
        <w:t xml:space="preserve">最も伸びたのはクラウドサービスで（</w:t>
      </w:r>
      <w:hyperlink w:anchor="tbl_rev">
        <w:r>
          <w:rPr>
            <w:rStyle w:val="Hyperlink"/>
            <w:rFonts w:hint="eastAsia"/>
            <w:lang w:val="ja-JP"/>
          </w:rPr>
          <w:t xml:space="preserve">表</w:t>
        </w:r>
        <w:r>
          <w:rPr>
            <w:rStyle w:val="Hyperlink"/>
            <w:lang w:val="ja-JP"/>
          </w:rPr>
          <w:t xml:space="preserve"> 1</w:t>
        </w:r>
      </w:hyperlink>
      <w:r>
        <w:rPr>
          <w:rFonts w:hint="eastAsia"/>
          <w:lang w:val="ja-JP"/>
        </w:rPr>
        <w:t xml:space="preserve">）、製造業のお客様によるオンプレミス導入が成長を支えました。</w:t>
      </w:r>
    </w:p>
    <w:p>
      <w:pPr>
        <w:pStyle w:val="CaptionedFigure"/>
      </w:pPr>
      <w:bookmarkStart w:id="15" w:name="fig_trend"/>
      <w:r>
        <w:drawing>
          <wp:inline>
            <wp:extent cx="5062728" cy="2657932"/>
            <wp:effectExtent b="0" l="0" r="0" t="0"/>
            <wp:docPr descr="月次の売上高と売上総利益率" title="" id="12" name="Picture"/>
            <a:graphic>
              <a:graphicData uri="http://schemas.openxmlformats.org/drawingml/2006/picture">
                <pic:pic>
                  <pic:nvPicPr>
                    <pic:cNvPr descr="/var/folders/bl/5n_h09gn4dsd1gktj5qcv54w0000gn/T/docforge-t3zdi0ay/media-docx/image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2728" cy="26579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5"/>
    </w:p>
    <w:p>
      <w:pPr>
        <w:pStyle w:val="ImageCaption"/>
      </w:pPr>
      <w:bookmarkStart w:id="14" w:name="ref_fig_trend"/>
      <w:r>
        <w:rPr>
          <w:rFonts w:hint="eastAsia"/>
          <w:lang w:val="ja-JP"/>
        </w:rPr>
        <w:t xml:space="preserve">図</w:t>
      </w:r>
      <w:r>
        <w:rPr>
          <w:lang w:val="ja-JP"/>
        </w:rPr>
        <w:t xml:space="preserve"> </w:t>
      </w:r>
      <w:fldSimple w:instr="SEQ Figure \* ARABIC ">
        <w:r>
          <w:t>1</w:t>
        </w:r>
      </w:fldSimple>
      <w:bookmarkEnd w:id="14"/>
      <w:r>
        <w:rPr>
          <w:lang w:val="ja-JP"/>
        </w:rPr>
        <w:t xml:space="preserve">　</w:t>
      </w:r>
      <w:r>
        <w:rPr>
          <w:rFonts w:hint="eastAsia"/>
          <w:lang w:val="ja-JP"/>
        </w:rPr>
        <w:t xml:space="preserve">月次の売上高と売上総利益率</w:t>
      </w:r>
    </w:p>
    <w:p>
      <w:pPr>
        <w:pStyle w:val="Heading1"/>
      </w:pPr>
      <w:bookmarkStart w:id="18" w:name="df_7b1ae470ec"/>
      <w:r>
        <w:rPr>
          <w:rFonts w:hint="eastAsia"/>
          <w:lang w:val="ja-JP"/>
        </w:rPr>
        <w:t xml:space="preserve">次四半期の取り組み</w:t>
      </w:r>
      <w:bookmarkEnd w:id="18"/>
    </w:p>
    <w:p>
      <w:pPr>
        <w:pStyle w:val="Compact"/>
        <w:keepNext/>
        <w:numPr>
          <w:ilvl w:val="0"/>
          <w:numId w:val="1001"/>
        </w:numPr>
      </w:pPr>
      <w:r>
        <w:rPr>
          <w:rFonts w:hint="eastAsia"/>
          <w:lang w:val="ja-JP"/>
        </w:rPr>
        <w:t xml:space="preserve">クラウド導入チームを30名増員する。</w:t>
      </w:r>
    </w:p>
    <w:p>
      <w:pPr>
        <w:pStyle w:val="Compact"/>
        <w:keepNext/>
        <w:numPr>
          <w:ilvl w:val="0"/>
          <w:numId w:val="1001"/>
        </w:numPr>
      </w:pPr>
      <w:r>
        <w:rPr>
          <w:rFonts w:hint="eastAsia"/>
          <w:lang w:val="ja-JP"/>
        </w:rPr>
        <w:t xml:space="preserve">コンサルティングは既存顧客の契約更新に注力し、更新率85%を目指す。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lang w:val="ja-JP"/>
        </w:rPr>
        <w:t xml:space="preserve">販売費を売上高の12%以内に抑える。</w:t>
      </w:r>
    </w:p>
    <w:sectPr>
      <w:headerReference w:type="default" r:id="rIdDfHeader1"/>
      <w:footerReference r:id="rIdDfFooter1" w:type="default"/>
      <w:footerReference w:type="first" r:id="rIdDfFooter1"/>
      <w:footnotePr>
        <w:numRestart w:val="eachSect"/>
      </w:footnotePr>
      <w:pgSz w:h="16838" w:w="11906"/>
      <w:pgMar w:bottom="1417" w:footer="709" w:gutter="0" w:header="851" w:left="1417" w:right="1417" w:top="1417"/>
      <w:cols w:space="425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PAGE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/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NUMPAGES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4" w:color="CED6DF"/>
      </w:pBdr>
      <w:tabs>
        <w:tab w:val="right" w:pos="9071"/>
      </w:tabs>
      <w:spacing w:after="0"/>
      <w:jc w:val="left"/>
    </w:pPr>
    <w:r>
      <w:rPr>
        <w:color w:val="6B7280"/>
        <w:sz w:val="18"/>
        <w:szCs w:val="18"/>
      </w:rPr>
      <w:t xml:space="preserve">2026年度 第3四半期 事業報告</w:t>
    </w:r>
    <w:r>
      <w:rPr>
        <w:color w:val="6B7280"/>
        <w:sz w:val="18"/>
        <w:szCs w:val="18"/>
      </w:rPr>
      <w:tab/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 xml:space="preserve"> STYLEREF "heading 1" \* MERGEFORMAT </w:instrText>
    </w:r>
    <w:r>
      <w:rPr>
        <w:color w:val="6B7280"/>
        <w:sz w:val="18"/>
        <w:szCs w:val="18"/>
      </w:rPr>
      <w:fldChar w:fldCharType="separate"/>
    </w:r>
    <w:r>
      <w:rPr>
        <w:color w:val="6B7280"/>
        <w:sz w:val="18"/>
        <w:szCs w:val="18"/>
      </w:rPr>
      <w:t/>
    </w:r>
    <w:r>
      <w:rPr>
        <w:color w:val="6B7280"/>
        <w:sz w:val="18"/>
        <w:szCs w:val="18"/>
      </w:rPr>
      <w:fldChar w:fldCharType="end"/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游明朝" w:hAnsi="Times New Roman" w:hint="eastAsia"/>
        <w:sz w:val="22"/>
        <w:szCs w:val="22"/>
        <w:lang w:bidi="ar-SA" w:eastAsia="ja-JP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394" w:lineRule="atLeast"/>
      <w:jc w:val="both"/>
    </w:pPr>
    <w:rPr>
      <w:rFonts w:ascii="Times New Roman" w:cs="Times New Roman" w:eastAsia="游明朝" w:hAnsi="Times New Roman" w:hint="eastAsia"/>
      <w:color w:val="222222"/>
      <w:kern w:val="0"/>
      <w:sz w:val="22"/>
      <w:szCs w:val="22"/>
      <w:lang w:eastAsia="ja-JP" w:val="en-US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spacing w:after="120" w:before="240" w:line="240" w:lineRule="auto"/>
      <w:jc w:val="center"/>
    </w:pPr>
    <w:rPr>
      <w:rFonts w:ascii="Arial" w:cs="Arial" w:eastAsia="游ゴシック" w:hAnsi="Arial" w:hint="eastAsia"/>
      <w:b/>
      <w:bCs/>
      <w:color w:val="1F4E79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after="160" w:before="0"/>
      <w:jc w:val="center"/>
    </w:pPr>
    <w:rPr>
      <w:rFonts w:ascii="Arial" w:cs="Arial" w:eastAsia="游ゴシック" w:hAnsi="Arial" w:hint="eastAsia"/>
      <w:color w:val="6B7280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6B7280"/>
    </w:rPr>
  </w:style>
  <w:style w:styleId="Date" w:type="paragraph">
    <w:name w:val="Date"/>
    <w:basedOn w:val="Normal"/>
    <w:next w:val="BodyText"/>
    <w:qFormat/>
    <w:pPr>
      <w:pBdr>
        <w:bottom w:color="1F4E79" w:space="8" w:sz="8" w:val="single"/>
      </w:pBdr>
      <w:spacing w:after="240"/>
      <w:jc w:val="center"/>
    </w:pPr>
    <w:rPr>
      <w:color w:val="6B7280"/>
      <w:sz w:val="20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Arial" w:cs="Arial" w:eastAsia="游ゴシック" w:hAnsi="Arial" w:hint="eastAsia"/>
      <w:b/>
      <w:color w:val="1F4E79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6B7280"/>
      <w:sz w:val="21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pBdr>
        <w:bottom w:color="9AAFC3" w:space="4" w:sz="6" w:val="single"/>
      </w:pBdr>
      <w:spacing w:after="160" w:before="360" w:line="300" w:lineRule="auto"/>
      <w:ind w:firstLine="0" w:firstLineChars="0"/>
      <w:jc w:val="left"/>
      <w:outlineLvl w:val="0"/>
    </w:pPr>
    <w:rPr>
      <w:rFonts w:ascii="Arial" w:cs="Arial" w:eastAsia="游ゴシック" w:hAnsi="Arial" w:hint="eastAsia"/>
      <w:b/>
      <w:bCs/>
      <w:color w:val="1F4E79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20" w:before="280" w:line="300" w:lineRule="auto"/>
      <w:ind w:firstLine="0" w:firstLineChars="0"/>
      <w:jc w:val="left"/>
      <w:outlineLvl w:val="1"/>
    </w:pPr>
    <w:rPr>
      <w:rFonts w:ascii="Arial" w:cs="Arial" w:eastAsia="游ゴシック" w:hAnsi="Arial" w:hint="eastAsia"/>
      <w:b/>
      <w:bCs/>
      <w:color w:val="1F4E79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100" w:before="220" w:line="300" w:lineRule="auto"/>
      <w:ind w:firstLine="0" w:firstLineChars="0"/>
      <w:jc w:val="left"/>
      <w:outlineLvl w:val="2"/>
    </w:pPr>
    <w:rPr>
      <w:rFonts w:ascii="Arial" w:cs="Arial" w:eastAsia="游ゴシック" w:hAnsi="Arial" w:hint="eastAsia"/>
      <w:b/>
      <w:bCs/>
      <w:color w:val="1F4E79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80" w:before="180" w:line="300" w:lineRule="auto"/>
      <w:ind w:firstLine="0" w:firstLineChars="0"/>
      <w:jc w:val="left"/>
      <w:outlineLvl w:val="3"/>
    </w:pPr>
    <w:rPr>
      <w:rFonts w:ascii="Arial" w:cs="Arial" w:eastAsia="游ゴシック" w:hAnsi="Arial" w:hint="eastAsia"/>
      <w:b/>
      <w:bCs/>
      <w:color w:val="1F4E79"/>
      <w:sz w:val="24"/>
      <w:szCs w:val="24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4"/>
    </w:pPr>
    <w:rPr>
      <w:rFonts w:ascii="Arial" w:cs="Arial" w:eastAsia="游ゴシック" w:hAnsi="Arial" w:hint="eastAsia"/>
      <w:b/>
      <w:bCs/>
      <w:color w:val="222222"/>
      <w:sz w:val="22"/>
      <w:szCs w:val="22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5"/>
    </w:pPr>
    <w:rPr>
      <w:rFonts w:ascii="Arial" w:cs="Arial" w:eastAsia="游ゴシック" w:hAnsi="Arial" w:hint="eastAsia"/>
      <w:b/>
      <w:bCs/>
      <w:color w:val="222222"/>
      <w:sz w:val="22"/>
      <w:szCs w:val="22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Arial" w:cs="Arial" w:eastAsia="游ゴシック" w:hAnsi="Arial" w:hint="eastAsia"/>
      <w:b/>
      <w:bCs/>
      <w:color w:val="222222"/>
      <w:sz w:val="22"/>
      <w:szCs w:val="22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Arial" w:cs="Arial" w:eastAsia="游ゴシック" w:hAnsi="Arial" w:hint="eastAsia"/>
      <w:b/>
      <w:bCs/>
      <w:color w:val="222222"/>
      <w:sz w:val="22"/>
      <w:szCs w:val="22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Arial" w:cs="Arial" w:eastAsia="游ゴシック" w:hAnsi="Arial" w:hint="eastAsia"/>
      <w:b/>
      <w:bCs/>
      <w:color w:val="222222"/>
      <w:sz w:val="22"/>
      <w:szCs w:val="22"/>
    </w:rPr>
  </w:style>
  <w:style w:customStyle="1" w:styleId="Heading1Char" w:type="character">
    <w:name w:val="Heading 1 Char"/>
    <w:rPr>
      <w:rFonts w:ascii="Arial" w:cs="Arial" w:eastAsia="游ゴシック" w:hAnsi="Arial" w:hint="eastAsia"/>
      <w:b/>
      <w:bCs/>
      <w:color w:val="1F4E79"/>
      <w:sz w:val="40"/>
    </w:rPr>
  </w:style>
  <w:style w:customStyle="1" w:styleId="Heading2Char" w:type="character">
    <w:name w:val="Heading 2 Char"/>
    <w:rPr>
      <w:rFonts w:ascii="Arial" w:cs="Arial" w:eastAsia="游ゴシック" w:hAnsi="Arial" w:hint="eastAsia"/>
      <w:b/>
      <w:bCs/>
      <w:color w:val="1F4E79"/>
      <w:sz w:val="32"/>
    </w:rPr>
  </w:style>
  <w:style w:customStyle="1" w:styleId="Heading3Char" w:type="character">
    <w:name w:val="Heading 3 Char"/>
    <w:rPr>
      <w:rFonts w:ascii="Arial" w:cs="Arial" w:eastAsia="游ゴシック" w:hAnsi="Arial" w:hint="eastAsia"/>
      <w:b/>
      <w:bCs/>
      <w:color w:val="1F4E79"/>
      <w:sz w:val="28"/>
    </w:rPr>
  </w:style>
  <w:style w:customStyle="1" w:styleId="Heading4Char" w:type="character">
    <w:name w:val="Heading 4 Char"/>
    <w:rPr>
      <w:rFonts w:ascii="Arial" w:cs="Arial" w:eastAsia="游ゴシック" w:hAnsi="Arial" w:hint="eastAsia"/>
      <w:b/>
      <w:bCs/>
      <w:color w:val="1F4E79"/>
      <w:sz w:val="24"/>
    </w:rPr>
  </w:style>
  <w:style w:customStyle="1" w:styleId="Heading5Char" w:type="character">
    <w:name w:val="Heading 5 Char"/>
    <w:rPr>
      <w:rFonts w:ascii="Arial" w:cs="Arial" w:eastAsia="游ゴシック" w:hAnsi="Arial" w:hint="eastAsia"/>
      <w:b/>
      <w:bCs/>
      <w:color w:val="222222"/>
      <w:sz w:val="22"/>
    </w:rPr>
  </w:style>
  <w:style w:customStyle="1" w:styleId="Heading6Char" w:type="character">
    <w:name w:val="Heading 6 Char"/>
    <w:rPr>
      <w:rFonts w:ascii="Arial" w:cs="Arial" w:eastAsia="游ゴシック" w:hAnsi="Arial" w:hint="eastAsia"/>
      <w:b/>
      <w:bCs/>
      <w:color w:val="222222"/>
      <w:sz w:val="22"/>
    </w:rPr>
  </w:style>
  <w:style w:customStyle="1" w:styleId="Heading7Char" w:type="character">
    <w:name w:val="Heading 7 Char"/>
    <w:rPr>
      <w:rFonts w:ascii="Arial" w:cs="Arial" w:eastAsia="游ゴシック" w:hAnsi="Arial" w:hint="eastAsia"/>
      <w:b/>
      <w:bCs/>
      <w:color w:val="222222"/>
      <w:sz w:val="22"/>
    </w:rPr>
  </w:style>
  <w:style w:customStyle="1" w:styleId="Heading8Char" w:type="character">
    <w:name w:val="Heading 8 Char"/>
    <w:rPr>
      <w:rFonts w:ascii="Arial" w:cs="Arial" w:eastAsia="游ゴシック" w:hAnsi="Arial" w:hint="eastAsia"/>
      <w:b/>
      <w:bCs/>
      <w:color w:val="222222"/>
      <w:sz w:val="22"/>
    </w:rPr>
  </w:style>
  <w:style w:customStyle="1" w:styleId="Heading9Char" w:type="character">
    <w:name w:val="Heading 9 Char"/>
    <w:rPr>
      <w:rFonts w:ascii="Arial" w:cs="Arial" w:eastAsia="游ゴシック" w:hAnsi="Arial" w:hint="eastAsia"/>
      <w:b/>
      <w:bCs/>
      <w:color w:val="222222"/>
      <w:sz w:val="22"/>
    </w:rPr>
  </w:style>
  <w:style w:styleId="BlockText" w:type="paragraph">
    <w:name w:val="Block Text"/>
    <w:basedOn w:val="BodyText"/>
    <w:next w:val="BodyText"/>
    <w:qFormat/>
    <w:pPr>
      <w:pBdr>
        <w:left w:color="C9D1DB" w:space="8" w:sz="18" w:val="single"/>
      </w:pBdr>
      <w:shd w:color="auto" w:fill="F9F9FB" w:val="clear"/>
      <w:spacing w:after="60" w:before="60"/>
      <w:ind w:firstLine="0" w:firstLineChars="0" w:left="300" w:right="200"/>
    </w:pPr>
    <w:rPr>
      <w:color w:val="6B7280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18"/>
      <w:szCs w:val="18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Arial" w:cs="Arial" w:eastAsia="游ゴシック" w:hAnsi="Arial" w:hint="eastAsia"/>
      <w:b/>
      <w:color w:val="1F4E79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after="200" w:before="60"/>
      <w:ind w:firstLine="0" w:firstLineChars="0"/>
      <w:jc w:val="center"/>
    </w:pPr>
    <w:rPr>
      <w:color w:val="6B7280"/>
      <w:sz w:val="19"/>
      <w:szCs w:val="19"/>
    </w:rPr>
  </w:style>
  <w:style w:customStyle="1" w:styleId="TableCaption" w:type="paragraph">
    <w:name w:val="Table Caption"/>
    <w:basedOn w:val="Caption"/>
    <w:qFormat/>
    <w:pPr>
      <w:keepNext/>
      <w:spacing w:after="80" w:before="200"/>
      <w:jc w:val="center"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黑体" w:hAnsi="Consolas" w:hint="eastAsia"/>
      <w:sz w:val="20"/>
      <w:shd w:color="auto" w:fill="F6F8FA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2E75B6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348" w:lineRule="atLeast"/>
    </w:pPr>
    <w:rPr>
      <w:sz w:val="20"/>
      <w:szCs w:val="20"/>
    </w:rPr>
  </w:style>
  <w:style w:customStyle="1" w:styleId="SourceCode" w:type="paragraph">
    <w:name w:val="Source Code"/>
    <w:basedOn w:val="Normal"/>
    <w:qFormat/>
    <w:pPr>
      <w:pBdr>
        <w:top w:color="C9D1DB" w:space="4" w:sz="4" w:val="single"/>
        <w:left w:color="C9D1DB" w:space="4" w:sz="4" w:val="single"/>
        <w:bottom w:color="C9D1DB" w:space="4" w:sz="4" w:val="single"/>
        <w:right w:color="C9D1DB" w:space="4" w:sz="4" w:val="single"/>
      </w:pBdr>
      <w:shd w:color="auto" w:fill="F6F8FA" w:val="clear"/>
      <w:wordWrap w:val="0"/>
      <w:spacing w:after="120" w:before="120" w:line="260" w:lineRule="auto"/>
      <w:jc w:val="left"/>
    </w:pPr>
    <w:rPr>
      <w:rFonts w:ascii="Consolas" w:cs="Consolas" w:eastAsia="黑体" w:hAnsi="Consolas" w:hint="eastAsia"/>
      <w:sz w:val="19"/>
    </w:rPr>
  </w:style>
  <w:style w:customStyle="1" w:styleId="DFEquation" w:type="paragraph">
    <w:name w:val="DF Equation"/>
    <w:basedOn w:val="Normal"/>
    <w:qFormat/>
    <w:pPr>
      <w:keepLines/>
      <w:tabs>
        <w:tab w:pos="4535" w:val="center"/>
        <w:tab w:pos="9071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paragraph" w:customStyle="1" w:styleId="DFPara1">
    <w:name w:val="DF Para 1"/>
    <w:basedOn w:val="BodyText"/>
    <w:qFormat/>
    <w:pPr>
      <w:pBdr>
        <w:left w:val="single" w:sz="24" w:space="10" w:color="1565C0"/>
      </w:pBdr>
      <w:shd w:val="clear" w:color="auto" w:fill="EFF4FB"/>
      <w:spacing w:before="0" w:after="0" w:line="348" w:lineRule="auto"/>
      <w:ind w:left="240" w:right="120" w:firstLine="0" w:firstLineChars="0"/>
    </w:pPr>
  </w:style>
  <w:style w:type="paragraph" w:customStyle="1" w:styleId="DFPara2">
    <w:name w:val="DF Para 2"/>
    <w:basedOn w:val="BodyText"/>
    <w:qFormat/>
    <w:pPr>
      <w:keepNext/>
      <w:pBdr>
        <w:left w:val="single" w:sz="24" w:space="10" w:color="1565C0"/>
      </w:pBdr>
      <w:shd w:val="clear" w:color="auto" w:fill="EFF4FB"/>
      <w:spacing w:before="160" w:after="0"/>
      <w:ind w:left="240" w:right="120" w:firstLine="0" w:firstLineChars="0"/>
      <w:jc w:val="left"/>
    </w:pPr>
    <w:rPr>
      <w:rFonts w:ascii="Arial" w:hAnsi="Arial" w:eastAsia="游ゴシック" w:cs="Arial" w:hint="eastAsia"/>
      <w:b/>
      <w:color w:val="1565C0"/>
    </w:rPr>
  </w:style>
  <w:style w:type="character" w:customStyle="1" w:styleId="DFChar3">
    <w:name w:val="DF Char 3"/>
    <w:rPr>
      <w:color w:val="2E7D32"/>
    </w:r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DfFooter1" Target="footer1.xml" Type="http://schemas.openxmlformats.org/officeDocument/2006/relationships/footer" /><Relationship Type="http://schemas.openxmlformats.org/officeDocument/2006/relationships/image" Id="rId11" Target="media/rId11.png" /><Relationship Type="http://schemas.openxmlformats.org/officeDocument/2006/relationships/header" Id="rIdDfHeader1" Target="header1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游ゴシック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Times New Roman" panose="02110004020202020204"/>
        <a:ea typeface="游明朝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2026年度 第3四半期 事業報告</dc:title>
  <dc:creator>経営企画部</dc:creator>
  <dc:language>ja-JP</dc:language>
  <cp:keywords/>
  <dcterms:created xsi:type="dcterms:W3CDTF">2026-10-27T10:31:59Z</dcterms:created>
  <dcterms:modified xsi:type="dcterms:W3CDTF">2026-10-27T10:31:59Z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-title">
    <vt:lpwstr>要旨</vt:lpwstr>
  </property>
  <property fmtid="{D5CDD505-2E9C-101B-9397-08002B2CF9AE}" pid="3" name="date">
    <vt:lpwstr>2026年10月15日</vt:lpwstr>
  </property>
  <property fmtid="{D5CDD505-2E9C-101B-9397-08002B2CF9AE}" pid="4" name="subtitle">
    <vt:lpwstr>東日本地域 · 四半期レビュー</vt:lpwstr>
  </property>
</Properties>
</file>