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header1.xml" ContentType="application/vnd.openxmlformats-officedocument.wordprocessingml.head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  <w:lang w:val="ja-JP"/>
        </w:rPr>
        <w:t xml:space="preserve">都市住宅価格の空間的差異とその決定要因</w:t>
      </w:r>
    </w:p>
    <w:p>
      <w:pPr>
        <w:pStyle w:val="Author"/>
      </w:pPr>
      <w:r>
        <w:rPr>
          <w:rFonts w:hint="eastAsia"/>
          <w:lang w:val="ja-JP"/>
        </w:rPr>
        <w:t xml:space="preserve">王明</w:t>
      </w:r>
      <w:r>
        <w:rPr>
          <w:lang w:val="ja-JP"/>
        </w:rPr>
        <w:t xml:space="preserve">　</w:t>
      </w:r>
      <w:r>
        <w:rPr>
          <w:rFonts w:hint="eastAsia"/>
          <w:lang w:val="ja-JP"/>
        </w:rPr>
        <w:t xml:space="preserve">李華</w:t>
      </w:r>
    </w:p>
    <w:p>
      <w:pPr>
        <w:pStyle w:val="Date"/>
      </w:pPr>
      <w:r>
        <w:rPr>
          <w:rFonts w:hint="eastAsia"/>
          <w:lang w:val="ja-JP"/>
        </w:rPr>
        <w:t xml:space="preserve">2026年9月</w:t>
      </w:r>
    </w:p>
    <w:p>
      <w:pPr>
        <w:pStyle w:val="AbstractTitle"/>
      </w:pPr>
      <w:r>
        <w:t xml:space="preserve">要旨</w:t>
      </w:r>
    </w:p>
    <w:p>
      <w:pPr>
        <w:pStyle w:val="Abstract"/>
      </w:pPr>
      <w:r>
        <w:rPr>
          <w:rFonts w:hint="eastAsia"/>
          <w:lang w:val="ja-JP"/>
        </w:rPr>
        <w:t xml:space="preserve">本研究では、2020〜2025年の36都市における住宅取引データを用いてヘドニック価格モデルを推定し、立地、周辺施設、築年数が住宅価格に与える影響を分析した。鉄道アクセスが1標準偏差向上すると、単価は約6.8%上昇することが示された。</w:t>
      </w:r>
    </w:p>
    <w:p>
      <w:pPr>
        <w:pStyle w:val="Heading1"/>
      </w:pPr>
      <w:bookmarkStart w:id="9" w:name="df_46a7f4db6a"/>
      <w:r>
        <w:rPr>
          <w:rStyle w:val="SectionNumber"/>
          <w:lang w:val="ja-JP"/>
        </w:rPr>
        <w:t xml:space="preserve">1</w:t>
      </w:r>
      <w:r>
        <w:tab/>
      </w:r>
      <w:r>
        <w:rPr>
          <w:lang w:val="ja-JP"/>
        </w:rPr>
        <w:t xml:space="preserve">はじめに</w:t>
      </w:r>
      <w:bookmarkEnd w:id="9"/>
    </w:p>
    <w:p>
      <w:pPr>
        <w:pStyle w:val="FirstParagraph"/>
      </w:pPr>
      <w:r>
        <w:rPr>
          <w:rFonts w:hint="eastAsia"/>
          <w:lang w:val="ja-JP"/>
        </w:rPr>
        <w:t xml:space="preserve">住宅価格の空間的な差異は、都市経済学の中心的な課題の一つである。先行研究の多くはヘドニック・アプローチを用いており</w:t>
      </w:r>
      <w:r>
        <w:rPr>
          <w:vertAlign w:val="superscript"/>
          <w:lang w:val="ja-JP"/>
        </w:rPr>
        <w:t xml:space="preserve">[</w:t>
      </w:r>
      <w:hyperlink w:anchor="ref_smith2021">
        <w:r>
          <w:rPr>
            <w:rStyle w:val="Hyperlink"/>
            <w:vertAlign w:val="superscript"/>
            <w:lang w:val="ja-JP"/>
          </w:rPr>
          <w:t xml:space="preserve">1</w:t>
        </w:r>
      </w:hyperlink>
      <w:r>
        <w:rPr>
          <w:vertAlign w:val="superscript"/>
          <w:lang w:val="ja-JP"/>
        </w:rPr>
        <w:t xml:space="preserve">]</w:t>
      </w:r>
      <w:r>
        <w:rPr>
          <w:rFonts w:hint="eastAsia"/>
          <w:lang w:val="ja-JP"/>
        </w:rPr>
        <w:t xml:space="preserve">、取引事例比較法における補正係数を論じた研究もある</w:t>
      </w:r>
      <w:r>
        <w:rPr>
          <w:vertAlign w:val="superscript"/>
          <w:lang w:val="ja-JP"/>
        </w:rPr>
        <w:t xml:space="preserve">[</w:t>
      </w:r>
      <w:hyperlink w:anchor="ref_zhang2024">
        <w:r>
          <w:rPr>
            <w:rStyle w:val="Hyperlink"/>
            <w:vertAlign w:val="superscript"/>
            <w:lang w:val="ja-JP"/>
          </w:rPr>
          <w:t xml:space="preserve">2</w:t>
        </w:r>
      </w:hyperlink>
      <w:r>
        <w:rPr>
          <w:vertAlign w:val="superscript"/>
          <w:lang w:val="ja-JP"/>
        </w:rPr>
        <w:t xml:space="preserve">]</w:t>
      </w:r>
      <w:r>
        <w:rPr>
          <w:lang w:val="ja-JP"/>
        </w:rPr>
        <w:t xml:space="preserve">。</w:t>
      </w:r>
    </w:p>
    <w:p>
      <w:pPr>
        <w:pStyle w:val="Heading1"/>
      </w:pPr>
      <w:bookmarkStart w:id="11" w:name="df_1e20dd673d"/>
      <w:r>
        <w:rPr>
          <w:rStyle w:val="SectionNumber"/>
          <w:lang w:val="ja-JP"/>
        </w:rPr>
        <w:t xml:space="preserve">2</w:t>
      </w:r>
      <w:r>
        <w:tab/>
      </w:r>
      <w:r>
        <w:rPr>
          <w:lang w:val="ja-JP"/>
        </w:rPr>
        <w:t xml:space="preserve">モデル</w:t>
      </w:r>
      <w:bookmarkEnd w:id="11"/>
    </w:p>
    <w:p>
      <w:pPr>
        <w:pStyle w:val="FirstParagraph"/>
      </w:pPr>
      <w:r>
        <w:rPr>
          <w:rFonts w:hint="eastAsia"/>
          <w:lang w:val="ja-JP"/>
        </w:rPr>
        <w:t xml:space="preserve">住宅</w:t>
      </w:r>
      <m:oMath>
        <m:r>
          <m:t>i</m:t>
        </m:r>
      </m:oMath>
      <w:r>
        <w:rPr>
          <w:rFonts w:hint="eastAsia"/>
          <w:lang w:val="ja-JP"/>
        </w:rPr>
        <w:t xml:space="preserve">の価格を</w:t>
      </w:r>
      <m:oMath>
        <m:sSub>
          <m:e>
            <m:r>
              <m:t>P</m:t>
            </m:r>
          </m:e>
          <m:sub>
            <m:r>
              <m:t>i</m:t>
            </m:r>
          </m:sub>
        </m:sSub>
      </m:oMath>
      <w:r>
        <w:rPr>
          <w:rFonts w:hint="eastAsia"/>
          <w:lang w:val="ja-JP"/>
        </w:rPr>
        <w:t xml:space="preserve">、その属性ベクトルを</w:t>
      </w:r>
      <m:oMath>
        <m:sSub>
          <m:e>
            <m:r>
              <m:rPr>
                <m:sty m:val="bi"/>
              </m:rPr>
              <m:t>x</m:t>
            </m:r>
          </m:e>
          <m:sub>
            <m:r>
              <m:t>i</m:t>
            </m:r>
          </m:sub>
        </m:sSub>
      </m:oMath>
      <w:r>
        <w:rPr>
          <w:rFonts w:hint="eastAsia"/>
          <w:lang w:val="ja-JP"/>
        </w:rPr>
        <w:t xml:space="preserve">とし、次の片対数モデルを用いる。</w:t>
      </w:r>
    </w:p>
    <w:p>
      <w:pPr>
        <w:pStyle w:val="DFEquation"/>
      </w:pPr>
      <w:r>
        <w:tab/>
      </w:r>
      <m:oMath>
        <m:r>
          <m:rPr>
            <m:sty m:val="p"/>
          </m:rPr>
          <m:t>ln</m:t>
        </m:r>
        <m:sSub>
          <m:e>
            <m:r>
              <m:t>P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sSub>
          <m:e>
            <m:r>
              <m:t>β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nary>
          <m:naryPr>
            <m:chr m:val="∑"/>
            <m:limLoc m:val="undOvr"/>
            <m:subHide m:val="off"/>
            <m:supHide m:val="off"/>
          </m:naryPr>
          <m:sub>
            <m:r>
              <m:t>k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K</m:t>
            </m:r>
          </m:sup>
          <m:e>
            <m:sSub>
              <m:e>
                <m:r>
                  <m:t>β</m:t>
                </m:r>
              </m:e>
              <m:sub>
                <m:r>
                  <m:t>k</m:t>
                </m:r>
              </m:sub>
            </m:sSub>
          </m:e>
        </m:nary>
        <m:sSub>
          <m:e>
            <m:r>
              <m:t>x</m:t>
            </m:r>
          </m:e>
          <m:sub>
            <m:r>
              <m:t>i</m:t>
            </m:r>
            <m:r>
              <m:t>k</m:t>
            </m:r>
          </m:sub>
        </m:sSub>
        <m:r>
          <m:rPr>
            <m:sty m:val="p"/>
          </m:rPr>
          <m:t>+</m:t>
        </m:r>
        <m:sSub>
          <m:e>
            <m:r>
              <m:t>ε</m:t>
            </m:r>
          </m:e>
          <m:sub>
            <m:r>
              <m:t>i</m:t>
            </m:r>
          </m:sub>
        </m:sSub>
      </m:oMath>
      <w:r>
        <w:tab/>
      </w:r>
      <w:bookmarkStart w:id="10" w:name="eq_hedonic"/>
      <w:r>
        <w:rPr>
          <w:lang w:val="ja-JP"/>
        </w:rPr>
        <w:t xml:space="preserve">(1)</w:t>
      </w:r>
      <w:bookmarkEnd w:id="10"/>
    </w:p>
    <w:p>
      <w:pPr>
        <w:pStyle w:val="BodyText"/>
      </w:pPr>
      <w:hyperlink w:anchor="eq_hedonic">
        <w:r>
          <w:rPr>
            <w:rStyle w:val="Hyperlink"/>
            <w:rFonts w:hint="eastAsia"/>
            <w:lang w:val="ja-JP"/>
          </w:rPr>
          <w:t xml:space="preserve">式(1)</w:t>
        </w:r>
      </w:hyperlink>
      <w:r>
        <w:rPr>
          <w:lang w:val="ja-JP"/>
        </w:rPr>
        <w:t xml:space="preserve">において、</w:t>
      </w:r>
      <m:oMath>
        <m:sSub>
          <m:e>
            <m:r>
              <m:t>β</m:t>
            </m:r>
          </m:e>
          <m:sub>
            <m:r>
              <m:t>k</m:t>
            </m:r>
          </m:sub>
        </m:sSub>
      </m:oMath>
      <w:r>
        <w:rPr>
          <w:rFonts w:hint="eastAsia"/>
          <w:lang w:val="ja-JP"/>
        </w:rPr>
        <w:t xml:space="preserve">は属性</w:t>
      </w:r>
      <m:oMath>
        <m:r>
          <m:t>k</m:t>
        </m:r>
      </m:oMath>
      <w:r>
        <w:rPr>
          <w:rFonts w:hint="eastAsia"/>
          <w:lang w:val="ja-JP"/>
        </w:rPr>
        <w:t xml:space="preserve">の限界効果を表す。</w:t>
      </w:r>
    </w:p>
    <w:p>
      <w:pPr>
        <w:pStyle w:val="Heading1"/>
      </w:pPr>
      <w:bookmarkStart w:id="14" w:name="df_d747baf8a8"/>
      <w:r>
        <w:rPr>
          <w:rStyle w:val="SectionNumber"/>
          <w:lang w:val="ja-JP"/>
        </w:rPr>
        <w:t xml:space="preserve">3</w:t>
      </w:r>
      <w:r>
        <w:tab/>
      </w:r>
      <w:r>
        <w:rPr>
          <w:rFonts w:hint="eastAsia"/>
          <w:lang w:val="ja-JP"/>
        </w:rPr>
        <w:t xml:space="preserve">推定結果</w:t>
      </w:r>
      <w:bookmarkEnd w:id="14"/>
    </w:p>
    <w:p>
      <w:pPr>
        <w:pStyle w:val="TableCaption"/>
      </w:pPr>
      <w:bookmarkStart w:id="13" w:name="tbl_est"/>
      <w:bookmarkStart w:id="12" w:name="tbl_est"/>
      <w:r>
        <w:rPr>
          <w:rFonts w:hint="eastAsia"/>
          <w:lang w:val="ja-JP"/>
        </w:rPr>
        <w:t xml:space="preserve">表</w:t>
      </w:r>
      <w:r>
        <w:rPr>
          <w:lang w:val="ja-JP"/>
        </w:rPr>
        <w:t xml:space="preserve"> </w:t>
      </w:r>
      <w:fldSimple w:instr="SEQ Table \* ARABIC ">
        <w:r>
          <w:t>1</w:t>
        </w:r>
      </w:fldSimple>
      <w:bookmarkEnd w:id="12"/>
      <w:r>
        <w:rPr>
          <w:lang w:val="ja-JP"/>
        </w:rPr>
        <w:t xml:space="preserve">　</w:t>
      </w:r>
      <w:r>
        <w:rPr>
          <w:rFonts w:hint="eastAsia"/>
          <w:lang w:val="ja-JP"/>
        </w:rPr>
        <w:t xml:space="preserve">ヘドニック価格モデルの推定結果</w:t>
      </w:r>
      <w:bookmarkEnd w:id="13"/>
    </w:p>
    <w:tbl>
      <w:tblPr>
        <w:tblStyle w:val="Table"/>
        <w:tblW w:type="dxa" w:w="4906"/>
        <w:jc w:val="center"/>
        <w:tblBorders>
          <w:top w:val="single" w:sz="12" w:space="0" w:color="000000"/>
          <w:left w:val="nil" w:sz="0" w:space="0" w:color="auto"/>
          <w:bottom w:val="single" w:sz="12" w:space="0" w:color="000000"/>
          <w:right w:val="nil" w:sz="0" w:space="0" w:color="auto"/>
          <w:insideH w:val="nil" w:sz="0" w:space="0" w:color="auto"/>
          <w:insideV w:val="nil" w:sz="0" w:space="0" w:color="auto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Row="1" w:lastRow="0" w:firstColumn="0" w:lastColumn="0" w:noHBand="0" w:noVBand="0" w:val="0020"/>
        <w:tblCaption w:val="ヘドニック価格モデルの推定結果"/>
      </w:tblPr>
      <w:tblGrid>
        <w:gridCol w:w="1673"/>
        <w:gridCol w:w="1003"/>
        <w:gridCol w:w="1227"/>
        <w:gridCol w:w="1003"/>
      </w:tblGrid>
      <w:tr>
        <w:trPr>
          <w:cantSplit/>
          <w:tblHeader w:val="on"/>
        </w:trPr>
        <w:tc>
          <w:tcPr>
            <w:tcBorders>
              <w:bottom w:val="single" w:sz="6" w:space="0" w:color="000000"/>
            </w:tcBorders>
            <w:vAlign w:val="center"/>
          </w:tcPr>
          <w:p>
            <w:pPr>
              <w:pStyle w:val="DFTableText"/>
            </w:pPr>
            <w:r>
              <w:rPr>
                <w:rFonts w:hint="eastAsia"/>
                <w:b/>
                <w:bCs/>
                <w:color w:val="000000"/>
                <w:lang w:val="ja-JP"/>
              </w:rPr>
              <w:t xml:space="preserve">変数</w:t>
            </w:r>
          </w:p>
        </w:tc>
        <w:tc>
          <w:tcPr>
            <w:tcBorders>
              <w:bottom w:val="single" w:sz="6" w:space="0" w:color="000000"/>
            </w:tcBorders>
            <w:vAlign w:val="center"/>
          </w:tcPr>
          <w:p>
            <w:pPr>
              <w:pStyle w:val="DFTableText"/>
              <w:jc w:val="right"/>
            </w:pPr>
            <w:r>
              <w:rPr>
                <w:rFonts w:hint="eastAsia"/>
                <w:b/>
                <w:bCs/>
                <w:color w:val="000000"/>
                <w:lang w:val="ja-JP"/>
              </w:rPr>
              <w:t xml:space="preserve">係数</w:t>
            </w:r>
          </w:p>
        </w:tc>
        <w:tc>
          <w:tcPr>
            <w:tcBorders>
              <w:bottom w:val="single" w:sz="6" w:space="0" w:color="000000"/>
            </w:tcBorders>
            <w:vAlign w:val="center"/>
          </w:tcPr>
          <w:p>
            <w:pPr>
              <w:pStyle w:val="DFTableText"/>
              <w:jc w:val="right"/>
            </w:pPr>
            <w:r>
              <w:rPr>
                <w:rFonts w:hint="eastAsia"/>
                <w:b/>
                <w:bCs/>
                <w:color w:val="000000"/>
                <w:lang w:val="ja-JP"/>
              </w:rPr>
              <w:t xml:space="preserve">標準誤差</w:t>
            </w:r>
          </w:p>
        </w:tc>
        <w:tc>
          <w:tcPr>
            <w:tcBorders>
              <w:bottom w:val="single" w:sz="6" w:space="0" w:color="000000"/>
            </w:tcBorders>
            <w:vAlign w:val="center"/>
          </w:tcPr>
          <w:p>
            <w:pPr>
              <w:pStyle w:val="DFTableText"/>
              <w:jc w:val="center"/>
            </w:pPr>
            <w:r>
              <w:rPr>
                <w:rFonts w:hint="eastAsia"/>
                <w:b/>
                <w:bCs/>
                <w:color w:val="000000"/>
                <w:lang w:val="ja-JP"/>
              </w:rPr>
              <w:t xml:space="preserve">有意性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ja-JP"/>
              </w:rPr>
              <w:t xml:space="preserve">鉄道アクセス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ja-JP"/>
              </w:rPr>
              <w:t xml:space="preserve">0.068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ja-JP"/>
              </w:rPr>
              <w:t xml:space="preserve">0.009</w:t>
            </w:r>
          </w:p>
        </w:tc>
        <w:tc>
          <w:tcPr>
            <w:vAlign w:val="center"/>
          </w:tcPr>
          <w:p>
            <w:pPr>
              <w:pStyle w:val="DFTableText"/>
              <w:jc w:val="center"/>
            </w:pPr>
            <w:r>
              <w:rPr>
                <w:lang w:val="ja-JP"/>
              </w:rPr>
              <w:t xml:space="preserve">***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ja-JP"/>
              </w:rPr>
              <w:t xml:space="preserve">学区の質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ja-JP"/>
              </w:rPr>
              <w:t xml:space="preserve">0.052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ja-JP"/>
              </w:rPr>
              <w:t xml:space="preserve">0.011</w:t>
            </w:r>
          </w:p>
        </w:tc>
        <w:tc>
          <w:tcPr>
            <w:vAlign w:val="center"/>
          </w:tcPr>
          <w:p>
            <w:pPr>
              <w:pStyle w:val="DFTableText"/>
              <w:jc w:val="center"/>
            </w:pPr>
            <w:r>
              <w:rPr>
                <w:lang w:val="ja-JP"/>
              </w:rPr>
              <w:t xml:space="preserve">***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ja-JP"/>
              </w:rPr>
              <w:t xml:space="preserve">築年数（年）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ja-JP"/>
              </w:rPr>
              <w:t xml:space="preserve">−0.007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ja-JP"/>
              </w:rPr>
              <w:t xml:space="preserve">0.002</w:t>
            </w:r>
          </w:p>
        </w:tc>
        <w:tc>
          <w:tcPr>
            <w:vAlign w:val="center"/>
          </w:tcPr>
          <w:p>
            <w:pPr>
              <w:pStyle w:val="DFTableText"/>
              <w:jc w:val="center"/>
            </w:pPr>
            <w:r>
              <w:rPr>
                <w:lang w:val="ja-JP"/>
              </w:rPr>
              <w:t xml:space="preserve">**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ja-JP"/>
              </w:rPr>
              <w:t xml:space="preserve">容積率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ja-JP"/>
              </w:rPr>
              <w:t xml:space="preserve">−0.015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ja-JP"/>
              </w:rPr>
              <w:t xml:space="preserve">0.006</w:t>
            </w:r>
          </w:p>
        </w:tc>
        <w:tc>
          <w:tcPr>
            <w:vAlign w:val="center"/>
          </w:tcPr>
          <w:p>
            <w:pPr>
              <w:pStyle w:val="DFTableText"/>
              <w:jc w:val="center"/>
            </w:pPr>
            <w:r>
              <w:rPr>
                <w:lang w:val="ja-JP"/>
              </w:rPr>
              <w:t xml:space="preserve">*</w:t>
            </w:r>
          </w:p>
        </w:tc>
      </w:tr>
    </w:tbl>
    <w:p>
      <w:pPr>
        <w:pStyle w:val="Heading1"/>
      </w:pPr>
      <w:bookmarkStart w:id="18" w:name="df_e1ae4ff6a4"/>
      <w:r>
        <w:rPr>
          <w:rFonts w:hint="eastAsia"/>
          <w:lang w:val="ja-JP"/>
        </w:rPr>
        <w:t xml:space="preserve">参考文献</w:t>
      </w:r>
      <w:bookmarkEnd w:id="18"/>
    </w:p>
    <w:p>
      <w:pPr>
        <w:pStyle w:val="Bibliography"/>
      </w:pPr>
      <w:bookmarkStart w:id="15" w:name="ref_smith2021"/>
      <w:bookmarkStart w:id="17" w:name="refs"/>
      <w:r>
        <w:rPr>
          <w:lang w:val="ja-JP"/>
        </w:rPr>
        <w:t xml:space="preserve">[1]</w:t>
      </w:r>
      <w:r>
        <w:rPr>
          <w:lang w:val="ja-JP"/>
        </w:rPr>
        <w:t xml:space="preserve"> </w:t>
      </w:r>
      <w:r>
        <w:t xml:space="preserve">	</w:t>
      </w:r>
      <w:r>
        <w:rPr>
          <w:lang w:val="ja-JP"/>
        </w:rPr>
        <w:t xml:space="preserve">SMITH J, DOE J. Hedonic pricing of residential property[J]. Journal of Real Estate Research, 2021, 43(2): 101-125.</w:t>
      </w:r>
      <w:bookmarkEnd w:id="17"/>
      <w:bookmarkEnd w:id="15"/>
    </w:p>
    <w:p>
      <w:pPr>
        <w:pStyle w:val="Bibliography"/>
      </w:pPr>
      <w:bookmarkStart w:id="16" w:name="ref_zhang2024"/>
      <w:r>
        <w:rPr>
          <w:lang w:val="ja-JP"/>
        </w:rPr>
        <w:t xml:space="preserve">[2]</w:t>
      </w:r>
      <w:r>
        <w:rPr>
          <w:lang w:val="ja-JP"/>
        </w:rPr>
        <w:t xml:space="preserve"> </w:t>
      </w:r>
      <w:r>
        <w:t xml:space="preserve">	</w:t>
      </w:r>
      <w:r>
        <w:rPr>
          <w:rFonts w:hint="eastAsia"/>
          <w:lang w:val="ja-JP"/>
        </w:rPr>
        <w:t xml:space="preserve">张三,</w:t>
      </w:r>
      <w:r>
        <w:rPr>
          <w:lang w:val="ja-JP"/>
        </w:rPr>
        <w:t xml:space="preserve"> </w:t>
      </w:r>
      <w:r>
        <w:rPr>
          <w:rFonts w:hint="eastAsia"/>
          <w:lang w:val="ja-JP"/>
        </w:rPr>
        <w:t xml:space="preserve">李四.</w:t>
      </w:r>
      <w:r>
        <w:rPr>
          <w:lang w:val="ja-JP"/>
        </w:rPr>
        <w:t xml:space="preserve"> </w:t>
      </w:r>
      <w:r>
        <w:rPr>
          <w:rFonts w:hint="eastAsia"/>
          <w:lang w:val="ja-JP"/>
        </w:rPr>
        <w:t xml:space="preserve">房地产估价中比较法修正系数的确定方法研究[J].</w:t>
      </w:r>
      <w:r>
        <w:rPr>
          <w:lang w:val="ja-JP"/>
        </w:rPr>
        <w:t xml:space="preserve"> </w:t>
      </w:r>
      <w:r>
        <w:rPr>
          <w:rFonts w:hint="eastAsia"/>
          <w:lang w:val="ja-JP"/>
        </w:rPr>
        <w:t xml:space="preserve">中国房地产估价与经纪,</w:t>
      </w:r>
      <w:r>
        <w:rPr>
          <w:lang w:val="ja-JP"/>
        </w:rPr>
        <w:t xml:space="preserve"> 2024(3): 45-52.</w:t>
      </w:r>
      <w:bookmarkEnd w:id="16"/>
    </w:p>
    <w:sectPr>
      <w:headerReference w:type="default" r:id="rIdDfHeader1"/>
      <w:footerReference r:id="rIdDfFooter1" w:type="default"/>
      <w:footerReference w:type="first" r:id="rIdDfFooter1"/>
      <w:footnotePr>
        <w:numRestart w:val="eachSect"/>
      </w:footnotePr>
      <w:pgSz w:h="16838" w:w="11906"/>
      <w:pgMar w:bottom="1417" w:footer="709" w:gutter="0" w:header="851" w:left="1417" w:right="1417" w:top="1417"/>
      <w:cols w:space="425"/>
      <w:titlePg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</w:font>
  <w:font w:name="游明朝">
    <w:altName w:val="Yu Mincho"/>
    <w:panose1 w:val="02020400000000000000"/>
    <w:charset w:val="80"/>
    <w:family w:val="roman"/>
    <w:pitch w:val="variable"/>
  </w:font>
  <w:font w:name="游ゴシック">
    <w:altName w:val="Yu Gothic"/>
    <w:panose1 w:val="020B0400000000000000"/>
    <w:charset w:val="80"/>
    <w:family w:val="swiss"/>
    <w:pitch w:val="variable"/>
  </w:font>
  <w:font w:name="黑体">
    <w:altName w:val="SimHei"/>
    <w:panose1 w:val="02010609060101010101"/>
    <w:charset w:val="86"/>
    <w:family w:val="modern"/>
    <w:pitch w:val="variable"/>
  </w:font>
  <w:font w:name="楷体">
    <w:altName w:val="KaiTi"/>
    <w:panose1 w:val="02010609060101010101"/>
    <w:charset w:val="86"/>
    <w:family w:val="modern"/>
    <w:pitch w:val="fixed"/>
  </w:font>
  <w:font w:name="仿宋">
    <w:altName w:val="FangSong"/>
    <w:panose1 w:val="02010609060101010101"/>
    <w:charset w:val="86"/>
    <w:family w:val="modern"/>
    <w:pitch w:val="fixed"/>
  </w:font>
  <w:font w:name="微软雅黑">
    <w:altName w:val="Microsoft YaHei"/>
    <w:panose1 w:val="020B0503020204020204"/>
    <w:charset w:val="86"/>
    <w:family w:val="swiss"/>
    <w:pitch w:val="variable"/>
  </w:font>
  <w:font w:name="Consolas">
    <w:altName w:val="Menlo"/>
    <w:panose1 w:val="020B0609020204030204"/>
    <w:charset w:val="00"/>
    <w:family w:val="modern"/>
    <w:pitch w:val="fixed"/>
  </w:font>
  <w:font w:name="Arial">
    <w:altName w:val="Helvetica"/>
    <w:panose1 w:val="020B0604020202020204"/>
    <w:charset w:val="00"/>
    <w:family w:val="swiss"/>
    <w:pitch w:val="variable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6B7280"/>
        <w:sz w:val="18"/>
      </w:rPr>
      <w:fldChar w:fldCharType="begin"/>
    </w:r>
    <w:r>
      <w:rPr>
        <w:color w:val="6B7280"/>
        <w:sz w:val="18"/>
      </w:rPr>
      <w:instrText xml:space="preserve"> PAGE </w:instrText>
    </w:r>
    <w:r>
      <w:rPr>
        <w:color w:val="6B7280"/>
        <w:sz w:val="18"/>
      </w:rPr>
      <w:fldChar w:fldCharType="separate"/>
    </w:r>
    <w:r>
      <w:rPr>
        <w:color w:val="6B7280"/>
        <w:sz w:val="18"/>
      </w:rPr>
      <w:t>1</w:t>
    </w:r>
    <w:r>
      <w:rPr>
        <w:color w:val="6B7280"/>
        <w:sz w:val="18"/>
      </w:rPr>
      <w:fldChar w:fldCharType="end"/>
    </w:r>
    <w:r>
      <w:rPr>
        <w:color w:val="6B7280"/>
        <w:sz w:val="18"/>
      </w:rPr>
      <w:t xml:space="preserve"> / </w:t>
    </w:r>
    <w:r>
      <w:rPr>
        <w:color w:val="6B7280"/>
        <w:sz w:val="18"/>
      </w:rPr>
      <w:fldChar w:fldCharType="begin"/>
    </w:r>
    <w:r>
      <w:rPr>
        <w:color w:val="6B7280"/>
        <w:sz w:val="18"/>
      </w:rPr>
      <w:instrText xml:space="preserve"> NUMPAGES </w:instrText>
    </w:r>
    <w:r>
      <w:rPr>
        <w:color w:val="6B7280"/>
        <w:sz w:val="18"/>
      </w:rPr>
      <w:fldChar w:fldCharType="separate"/>
    </w:r>
    <w:r>
      <w:rPr>
        <w:color w:val="6B7280"/>
        <w:sz w:val="18"/>
      </w:rPr>
      <w:t>1</w:t>
    </w:r>
    <w:r>
      <w:rPr>
        <w:color w:val="6B7280"/>
        <w:sz w:val="18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="http://schemas.openxmlformats.org/wordprocessingml/2006/main" xmlns:r="http://schemas.openxmlformats.org/officeDocument/2006/relationships">
  <w:p>
    <w:pPr>
      <w:pBdr>
        <w:bottom w:val="single" w:sz="4" w:space="4" w:color="1A1A1A"/>
      </w:pBdr>
      <w:tabs>
        <w:tab w:val="right" w:pos="9071"/>
      </w:tabs>
      <w:spacing w:after="0"/>
      <w:jc w:val="left"/>
    </w:pPr>
    <w:r>
      <w:rPr>
        <w:color w:val="6B7280"/>
        <w:sz w:val="18"/>
        <w:szCs w:val="18"/>
      </w:rPr>
      <w:t xml:space="preserve">都市住宅価格の空間的差異とその決定要因</w:t>
    </w:r>
    <w:r>
      <w:rPr>
        <w:color w:val="6B7280"/>
        <w:sz w:val="18"/>
        <w:szCs w:val="18"/>
      </w:rPr>
      <w:tab/>
    </w:r>
    <w:r>
      <w:rPr>
        <w:color w:val="6B7280"/>
        <w:sz w:val="18"/>
        <w:szCs w:val="18"/>
      </w:rPr>
      <w:fldChar w:fldCharType="begin"/>
    </w:r>
    <w:r>
      <w:rPr>
        <w:color w:val="6B7280"/>
        <w:sz w:val="18"/>
        <w:szCs w:val="18"/>
      </w:rPr>
      <w:instrText xml:space="preserve"> STYLEREF "heading 1" \* MERGEFORMAT </w:instrText>
    </w:r>
    <w:r>
      <w:rPr>
        <w:color w:val="6B7280"/>
        <w:sz w:val="18"/>
        <w:szCs w:val="18"/>
      </w:rPr>
      <w:fldChar w:fldCharType="separate"/>
    </w:r>
    <w:r>
      <w:rPr>
        <w:color w:val="6B7280"/>
        <w:sz w:val="18"/>
        <w:szCs w:val="18"/>
      </w:rPr>
      <w:t/>
    </w:r>
    <w:r>
      <w:rPr>
        <w:color w:val="6B7280"/>
        <w:sz w:val="18"/>
        <w:szCs w:val="18"/>
      </w:rPr>
      <w:fldChar w:fldCharType="end"/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ExpandShiftReturn/>
  </w:compat>
  <w:rsids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cs="Times New Roman" w:eastAsia="游明朝" w:hAnsi="Times New Roman" w:hint="eastAsia"/>
        <w:sz w:val="24"/>
        <w:szCs w:val="24"/>
        <w:lang w:bidi="ar-SA" w:eastAsia="ja-JP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pacing w:after="0" w:line="435" w:lineRule="atLeast"/>
      <w:jc w:val="both"/>
    </w:pPr>
    <w:rPr>
      <w:rFonts w:ascii="Times New Roman" w:cs="Times New Roman" w:eastAsia="游明朝" w:hAnsi="Times New Roman" w:hint="eastAsia"/>
      <w:color w:val="222222"/>
      <w:kern w:val="0"/>
      <w:sz w:val="24"/>
      <w:szCs w:val="24"/>
      <w:lang w:eastAsia="ja-JP" w:val="en-US"/>
    </w:rPr>
  </w:style>
  <w:style w:styleId="BodyText" w:type="paragraph">
    <w:name w:val="Body Text"/>
    <w:basedOn w:val="Normal"/>
    <w:next w:val="BodyText"/>
    <w:link w:val="BodyTextChar"/>
    <w:qFormat/>
    <w:pPr>
      <w:spacing w:after="120" w:before="60"/>
      <w:ind w:firstLine="420" w:firstLineChars="200"/>
    </w:pPr>
  </w:style>
  <w:style w:styleId="FirstParagraph" w:type="paragraph">
    <w:name w:val="First Paragraph"/>
    <w:basedOn w:val="BodyText"/>
    <w:next w:val="BodyText"/>
    <w:qFormat/>
  </w:style>
  <w:style w:styleId="Compact" w:type="paragraph">
    <w:name w:val="Compact"/>
    <w:basedOn w:val="BodyText"/>
    <w:qFormat/>
    <w:pPr>
      <w:spacing w:after="20" w:before="20" w:line="300" w:lineRule="auto"/>
      <w:ind w:firstLine="0" w:firstLineChars="0"/>
      <w:jc w:val="left"/>
    </w:pPr>
  </w:style>
  <w:style w:styleId="Title" w:type="paragraph">
    <w:name w:val="Title"/>
    <w:basedOn w:val="Normal"/>
    <w:next w:val="BodyText"/>
    <w:qFormat/>
    <w:pPr>
      <w:spacing w:after="120" w:before="240" w:line="240" w:lineRule="auto"/>
      <w:jc w:val="center"/>
    </w:pPr>
    <w:rPr>
      <w:rFonts w:ascii="Arial" w:cs="Arial" w:eastAsia="游ゴシック" w:hAnsi="Arial" w:hint="eastAsia"/>
      <w:b/>
      <w:bCs/>
      <w:color w:val="000000"/>
      <w:sz w:val="44"/>
      <w:szCs w:val="44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Normal"/>
    <w:next w:val="BodyText"/>
    <w:qFormat/>
    <w:pPr>
      <w:spacing w:after="160" w:before="0"/>
      <w:jc w:val="center"/>
    </w:pPr>
    <w:rPr>
      <w:rFonts w:ascii="Arial" w:cs="Arial" w:eastAsia="游ゴシック" w:hAnsi="Arial" w:hint="eastAsia"/>
      <w:color w:val="6B7280"/>
      <w:sz w:val="30"/>
      <w:szCs w:val="3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styleId="Author" w:type="paragraph">
    <w:name w:val="Author"/>
    <w:basedOn w:val="Normal"/>
    <w:next w:val="BodyText"/>
    <w:qFormat/>
    <w:pPr>
      <w:spacing w:after="40"/>
      <w:jc w:val="center"/>
    </w:pPr>
    <w:rPr>
      <w:color w:val="6B7280"/>
    </w:rPr>
  </w:style>
  <w:style w:styleId="Date" w:type="paragraph">
    <w:name w:val="Date"/>
    <w:basedOn w:val="Normal"/>
    <w:next w:val="BodyText"/>
    <w:qFormat/>
    <w:pPr>
      <w:pBdr>
        <w:bottom w:color="000000" w:space="8" w:sz="8" w:val="single"/>
      </w:pBdr>
      <w:spacing w:after="240"/>
      <w:jc w:val="center"/>
    </w:pPr>
    <w:rPr>
      <w:color w:val="6B7280"/>
      <w:sz w:val="22"/>
    </w:rPr>
  </w:style>
  <w:style w:styleId="AbstractTitle" w:type="paragraph">
    <w:name w:val="Abstract Title"/>
    <w:basedOn w:val="Normal"/>
    <w:next w:val="Abstract"/>
    <w:qFormat/>
    <w:pPr>
      <w:keepNext/>
      <w:spacing w:after="60" w:before="200"/>
      <w:jc w:val="center"/>
    </w:pPr>
    <w:rPr>
      <w:rFonts w:ascii="Arial" w:cs="Arial" w:eastAsia="游ゴシック" w:hAnsi="Arial" w:hint="eastAsia"/>
      <w:b/>
      <w:color w:val="000000"/>
    </w:rPr>
  </w:style>
  <w:style w:styleId="Abstract" w:type="paragraph">
    <w:name w:val="Abstract"/>
    <w:basedOn w:val="Normal"/>
    <w:next w:val="BodyText"/>
    <w:qFormat/>
    <w:pPr>
      <w:spacing w:after="200" w:before="60"/>
      <w:ind w:left="567" w:right="567"/>
    </w:pPr>
    <w:rPr>
      <w:color w:val="6B7280"/>
      <w:sz w:val="23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pPr>
      <w:keepNext/>
      <w:keepLines/>
      <w:spacing w:after="160" w:before="360" w:line="300" w:lineRule="auto"/>
      <w:ind w:firstLine="0" w:firstLineChars="0"/>
      <w:jc w:val="left"/>
      <w:outlineLvl w:val="0"/>
    </w:pPr>
    <w:rPr>
      <w:rFonts w:ascii="Arial" w:cs="Arial" w:eastAsia="游ゴシック" w:hAnsi="Arial" w:hint="eastAsia"/>
      <w:b/>
      <w:bCs/>
      <w:color w:val="000000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qFormat/>
    <w:pPr>
      <w:keepNext/>
      <w:keepLines/>
      <w:spacing w:after="120" w:before="280" w:line="300" w:lineRule="auto"/>
      <w:ind w:firstLine="0" w:firstLineChars="0"/>
      <w:jc w:val="left"/>
      <w:outlineLvl w:val="1"/>
    </w:pPr>
    <w:rPr>
      <w:rFonts w:ascii="Arial" w:cs="Arial" w:eastAsia="游ゴシック" w:hAnsi="Arial" w:hint="eastAsia"/>
      <w:b/>
      <w:bCs/>
      <w:color w:val="000000"/>
      <w:sz w:val="28"/>
      <w:szCs w:val="28"/>
    </w:rPr>
  </w:style>
  <w:style w:styleId="Heading3" w:type="paragraph">
    <w:name w:val="heading 3"/>
    <w:basedOn w:val="Normal"/>
    <w:next w:val="BodyText"/>
    <w:link w:val="Heading3Char"/>
    <w:uiPriority w:val="9"/>
    <w:qFormat/>
    <w:pPr>
      <w:keepNext/>
      <w:keepLines/>
      <w:spacing w:after="100" w:before="220" w:line="300" w:lineRule="auto"/>
      <w:ind w:firstLine="0" w:firstLineChars="0"/>
      <w:jc w:val="left"/>
      <w:outlineLvl w:val="2"/>
    </w:pPr>
    <w:rPr>
      <w:rFonts w:ascii="Arial" w:cs="Arial" w:eastAsia="游ゴシック" w:hAnsi="Arial" w:hint="eastAsia"/>
      <w:b/>
      <w:bCs/>
      <w:color w:val="000000"/>
      <w:sz w:val="26"/>
      <w:szCs w:val="26"/>
    </w:rPr>
  </w:style>
  <w:style w:styleId="Heading4" w:type="paragraph">
    <w:name w:val="heading 4"/>
    <w:basedOn w:val="Normal"/>
    <w:next w:val="BodyText"/>
    <w:link w:val="Heading4Char"/>
    <w:uiPriority w:val="9"/>
    <w:qFormat/>
    <w:pPr>
      <w:keepNext/>
      <w:keepLines/>
      <w:spacing w:after="80" w:before="180" w:line="300" w:lineRule="auto"/>
      <w:ind w:firstLine="0" w:firstLineChars="0"/>
      <w:jc w:val="left"/>
      <w:outlineLvl w:val="3"/>
    </w:pPr>
    <w:rPr>
      <w:rFonts w:ascii="Arial" w:cs="Arial" w:eastAsia="游ゴシック" w:hAnsi="Arial" w:hint="eastAsia"/>
      <w:b/>
      <w:bCs/>
      <w:color w:val="000000"/>
      <w:sz w:val="24"/>
      <w:szCs w:val="24"/>
    </w:rPr>
  </w:style>
  <w:style w:styleId="Heading5" w:type="paragraph">
    <w:name w:val="heading 5"/>
    <w:basedOn w:val="Normal"/>
    <w:next w:val="BodyText"/>
    <w:link w:val="Heading5Char"/>
    <w:uiPriority w:val="9"/>
    <w:qFormat/>
    <w:pPr>
      <w:keepNext/>
      <w:keepLines/>
      <w:spacing w:after="60" w:before="160" w:line="300" w:lineRule="auto"/>
      <w:ind w:firstLine="0" w:firstLineChars="0"/>
      <w:jc w:val="left"/>
      <w:outlineLvl w:val="4"/>
    </w:pPr>
    <w:rPr>
      <w:rFonts w:ascii="Arial" w:cs="Arial" w:eastAsia="游ゴシック" w:hAnsi="Arial" w:hint="eastAsia"/>
      <w:b/>
      <w:bCs/>
      <w:color w:val="222222"/>
      <w:sz w:val="24"/>
      <w:szCs w:val="24"/>
    </w:rPr>
  </w:style>
  <w:style w:styleId="Heading6" w:type="paragraph">
    <w:name w:val="heading 6"/>
    <w:basedOn w:val="Normal"/>
    <w:next w:val="BodyText"/>
    <w:link w:val="Heading6Char"/>
    <w:uiPriority w:val="9"/>
    <w:qFormat/>
    <w:pPr>
      <w:keepNext/>
      <w:keepLines/>
      <w:spacing w:after="60" w:before="160" w:line="300" w:lineRule="auto"/>
      <w:ind w:firstLine="0" w:firstLineChars="0"/>
      <w:jc w:val="left"/>
      <w:outlineLvl w:val="5"/>
    </w:pPr>
    <w:rPr>
      <w:rFonts w:ascii="Arial" w:cs="Arial" w:eastAsia="游ゴシック" w:hAnsi="Arial" w:hint="eastAsia"/>
      <w:b/>
      <w:bCs/>
      <w:color w:val="222222"/>
      <w:sz w:val="24"/>
      <w:szCs w:val="24"/>
    </w:rPr>
  </w:style>
  <w:style w:styleId="Heading7" w:type="paragraph">
    <w:name w:val="heading 7"/>
    <w:basedOn w:val="Normal"/>
    <w:next w:val="BodyText"/>
    <w:link w:val="Heading7Char"/>
    <w:uiPriority w:val="9"/>
    <w:qFormat/>
    <w:pPr>
      <w:keepNext/>
      <w:keepLines/>
      <w:spacing w:after="60" w:before="120" w:line="300" w:lineRule="auto"/>
      <w:ind w:firstLine="0" w:firstLineChars="0"/>
      <w:jc w:val="left"/>
      <w:outlineLvl w:val="6"/>
    </w:pPr>
    <w:rPr>
      <w:rFonts w:ascii="Arial" w:cs="Arial" w:eastAsia="游ゴシック" w:hAnsi="Arial" w:hint="eastAsia"/>
      <w:b/>
      <w:bCs/>
      <w:color w:val="222222"/>
      <w:sz w:val="24"/>
      <w:szCs w:val="24"/>
    </w:rPr>
  </w:style>
  <w:style w:styleId="Heading8" w:type="paragraph">
    <w:name w:val="heading 8"/>
    <w:basedOn w:val="Normal"/>
    <w:next w:val="BodyText"/>
    <w:link w:val="Heading8Char"/>
    <w:uiPriority w:val="9"/>
    <w:qFormat/>
    <w:pPr>
      <w:keepNext/>
      <w:keepLines/>
      <w:spacing w:after="60" w:before="120" w:line="300" w:lineRule="auto"/>
      <w:ind w:firstLine="0" w:firstLineChars="0"/>
      <w:jc w:val="left"/>
      <w:outlineLvl w:val="7"/>
    </w:pPr>
    <w:rPr>
      <w:rFonts w:ascii="Arial" w:cs="Arial" w:eastAsia="游ゴシック" w:hAnsi="Arial" w:hint="eastAsia"/>
      <w:b/>
      <w:bCs/>
      <w:color w:val="222222"/>
      <w:sz w:val="24"/>
      <w:szCs w:val="24"/>
    </w:rPr>
  </w:style>
  <w:style w:styleId="Heading9" w:type="paragraph">
    <w:name w:val="heading 9"/>
    <w:basedOn w:val="Normal"/>
    <w:next w:val="BodyText"/>
    <w:link w:val="Heading9Char"/>
    <w:uiPriority w:val="9"/>
    <w:qFormat/>
    <w:pPr>
      <w:keepNext/>
      <w:keepLines/>
      <w:spacing w:after="60" w:before="120" w:line="300" w:lineRule="auto"/>
      <w:ind w:firstLine="0" w:firstLineChars="0"/>
      <w:jc w:val="left"/>
      <w:outlineLvl w:val="8"/>
    </w:pPr>
    <w:rPr>
      <w:rFonts w:ascii="Arial" w:cs="Arial" w:eastAsia="游ゴシック" w:hAnsi="Arial" w:hint="eastAsia"/>
      <w:b/>
      <w:bCs/>
      <w:color w:val="222222"/>
      <w:sz w:val="24"/>
      <w:szCs w:val="24"/>
    </w:rPr>
  </w:style>
  <w:style w:customStyle="1" w:styleId="Heading1Char" w:type="character">
    <w:name w:val="Heading 1 Char"/>
    <w:rPr>
      <w:rFonts w:ascii="Arial" w:cs="Arial" w:eastAsia="游ゴシック" w:hAnsi="Arial" w:hint="eastAsia"/>
      <w:b/>
      <w:bCs/>
      <w:color w:val="000000"/>
      <w:sz w:val="32"/>
    </w:rPr>
  </w:style>
  <w:style w:customStyle="1" w:styleId="Heading2Char" w:type="character">
    <w:name w:val="Heading 2 Char"/>
    <w:rPr>
      <w:rFonts w:ascii="Arial" w:cs="Arial" w:eastAsia="游ゴシック" w:hAnsi="Arial" w:hint="eastAsia"/>
      <w:b/>
      <w:bCs/>
      <w:color w:val="000000"/>
      <w:sz w:val="28"/>
    </w:rPr>
  </w:style>
  <w:style w:customStyle="1" w:styleId="Heading3Char" w:type="character">
    <w:name w:val="Heading 3 Char"/>
    <w:rPr>
      <w:rFonts w:ascii="Arial" w:cs="Arial" w:eastAsia="游ゴシック" w:hAnsi="Arial" w:hint="eastAsia"/>
      <w:b/>
      <w:bCs/>
      <w:color w:val="000000"/>
      <w:sz w:val="26"/>
    </w:rPr>
  </w:style>
  <w:style w:customStyle="1" w:styleId="Heading4Char" w:type="character">
    <w:name w:val="Heading 4 Char"/>
    <w:rPr>
      <w:rFonts w:ascii="Arial" w:cs="Arial" w:eastAsia="游ゴシック" w:hAnsi="Arial" w:hint="eastAsia"/>
      <w:b/>
      <w:bCs/>
      <w:color w:val="000000"/>
      <w:sz w:val="24"/>
    </w:rPr>
  </w:style>
  <w:style w:customStyle="1" w:styleId="Heading5Char" w:type="character">
    <w:name w:val="Heading 5 Char"/>
    <w:rPr>
      <w:rFonts w:ascii="Arial" w:cs="Arial" w:eastAsia="游ゴシック" w:hAnsi="Arial" w:hint="eastAsia"/>
      <w:b/>
      <w:bCs/>
      <w:color w:val="222222"/>
      <w:sz w:val="24"/>
    </w:rPr>
  </w:style>
  <w:style w:customStyle="1" w:styleId="Heading6Char" w:type="character">
    <w:name w:val="Heading 6 Char"/>
    <w:rPr>
      <w:rFonts w:ascii="Arial" w:cs="Arial" w:eastAsia="游ゴシック" w:hAnsi="Arial" w:hint="eastAsia"/>
      <w:b/>
      <w:bCs/>
      <w:color w:val="222222"/>
      <w:sz w:val="24"/>
    </w:rPr>
  </w:style>
  <w:style w:customStyle="1" w:styleId="Heading7Char" w:type="character">
    <w:name w:val="Heading 7 Char"/>
    <w:rPr>
      <w:rFonts w:ascii="Arial" w:cs="Arial" w:eastAsia="游ゴシック" w:hAnsi="Arial" w:hint="eastAsia"/>
      <w:b/>
      <w:bCs/>
      <w:color w:val="222222"/>
      <w:sz w:val="24"/>
    </w:rPr>
  </w:style>
  <w:style w:customStyle="1" w:styleId="Heading8Char" w:type="character">
    <w:name w:val="Heading 8 Char"/>
    <w:rPr>
      <w:rFonts w:ascii="Arial" w:cs="Arial" w:eastAsia="游ゴシック" w:hAnsi="Arial" w:hint="eastAsia"/>
      <w:b/>
      <w:bCs/>
      <w:color w:val="222222"/>
      <w:sz w:val="24"/>
    </w:rPr>
  </w:style>
  <w:style w:customStyle="1" w:styleId="Heading9Char" w:type="character">
    <w:name w:val="Heading 9 Char"/>
    <w:rPr>
      <w:rFonts w:ascii="Arial" w:cs="Arial" w:eastAsia="游ゴシック" w:hAnsi="Arial" w:hint="eastAsia"/>
      <w:b/>
      <w:bCs/>
      <w:color w:val="222222"/>
      <w:sz w:val="24"/>
    </w:rPr>
  </w:style>
  <w:style w:styleId="BlockText" w:type="paragraph">
    <w:name w:val="Block Text"/>
    <w:basedOn w:val="BodyText"/>
    <w:next w:val="BodyText"/>
    <w:qFormat/>
    <w:pPr>
      <w:pBdr>
        <w:left w:color="000000" w:space="8" w:sz="18" w:val="single"/>
      </w:pBdr>
      <w:shd w:color="auto" w:fill="E0E0E0" w:val="clear"/>
      <w:spacing w:after="60" w:before="60"/>
      <w:ind w:firstLine="0" w:firstLineChars="0" w:left="300" w:right="200"/>
    </w:pPr>
    <w:rPr>
      <w:color w:val="6B7280"/>
    </w:rPr>
  </w:style>
  <w:style w:styleId="FootnoteText" w:type="paragraph">
    <w:name w:val="footnote text"/>
    <w:basedOn w:val="Normal"/>
    <w:qFormat/>
    <w:pPr>
      <w:spacing w:after="40" w:line="260" w:lineRule="auto"/>
    </w:pPr>
    <w:rPr>
      <w:sz w:val="20"/>
      <w:szCs w:val="20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customStyle="1" w:styleId="DefinitionTerm" w:type="paragraph">
    <w:name w:val="Definition Term"/>
    <w:basedOn w:val="Normal"/>
    <w:next w:val="Definition"/>
    <w:qFormat/>
    <w:pPr>
      <w:keepNext/>
      <w:spacing w:after="0" w:before="80"/>
      <w:ind w:firstLine="0" w:firstLineChars="0"/>
    </w:pPr>
    <w:rPr>
      <w:rFonts w:ascii="Arial" w:cs="Arial" w:eastAsia="游ゴシック" w:hAnsi="Arial" w:hint="eastAsia"/>
      <w:b/>
      <w:color w:val="000000"/>
    </w:rPr>
  </w:style>
  <w:style w:customStyle="1" w:styleId="Definition" w:type="paragraph">
    <w:name w:val="Definition"/>
    <w:basedOn w:val="Normal"/>
    <w:qFormat/>
    <w:pPr>
      <w:spacing w:after="80" w:before="0"/>
      <w:ind w:firstLine="0" w:firstLineChars="0" w:left="420"/>
    </w:pPr>
  </w:style>
  <w:style w:styleId="Caption" w:type="paragraph">
    <w:name w:val="caption"/>
    <w:basedOn w:val="Normal"/>
    <w:next w:val="BodyText"/>
    <w:qFormat/>
    <w:pPr>
      <w:spacing w:after="200" w:before="60"/>
      <w:ind w:firstLine="0" w:firstLineChars="0"/>
      <w:jc w:val="center"/>
    </w:pPr>
    <w:rPr>
      <w:color w:val="6B7280"/>
      <w:sz w:val="21"/>
      <w:szCs w:val="21"/>
    </w:rPr>
  </w:style>
  <w:style w:customStyle="1" w:styleId="TableCaption" w:type="paragraph">
    <w:name w:val="Table Caption"/>
    <w:basedOn w:val="Caption"/>
    <w:qFormat/>
    <w:pPr>
      <w:keepNext/>
      <w:spacing w:after="80" w:before="200"/>
      <w:jc w:val="center"/>
    </w:pPr>
  </w:style>
  <w:style w:customStyle="1" w:styleId="ImageCaption" w:type="paragraph">
    <w:name w:val="Image Caption"/>
    <w:basedOn w:val="Caption"/>
    <w:qFormat/>
  </w:style>
  <w:style w:customStyle="1" w:styleId="Figure" w:type="paragraph">
    <w:name w:val="Figure"/>
    <w:basedOn w:val="Normal"/>
    <w:qFormat/>
    <w:pPr>
      <w:spacing w:after="60" w:before="120" w:line="240" w:lineRule="auto"/>
      <w:ind w:firstLine="0" w:firstLineChars="0"/>
      <w:jc w:val="center"/>
    </w:pPr>
  </w:style>
  <w:style w:customStyle="1" w:styleId="CaptionedFigure" w:type="paragraph">
    <w:name w:val="Captioned Figure"/>
    <w:basedOn w:val="Figure"/>
    <w:qFormat/>
    <w:pPr>
      <w:keepNext/>
    </w:pPr>
  </w:style>
  <w:style w:customStyle="1" w:styleId="BodyTextChar" w:type="character">
    <w:name w:val="Body Text Char"/>
    <w:rPr/>
  </w:style>
  <w:style w:customStyle="1" w:styleId="VerbatimChar" w:type="character">
    <w:name w:val="Verbatim Char"/>
    <w:rPr>
      <w:rFonts w:ascii="Consolas" w:cs="Consolas" w:eastAsia="黑体" w:hAnsi="Consolas" w:hint="eastAsia"/>
      <w:sz w:val="22"/>
      <w:shd w:color="auto" w:fill="F6F8FA" w:val="clear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rPr>
      <w:color w:val="333333"/>
      <w:u w:val="single"/>
    </w:rPr>
  </w:style>
  <w:style w:styleId="TOCHeading" w:type="paragraph">
    <w:name w:val="TOC Heading"/>
    <w:basedOn w:val="Heading1"/>
    <w:next w:val="BodyText"/>
    <w:qFormat/>
    <w:pPr>
      <w:pBdr/>
      <w:jc w:val="center"/>
      <w:outlineLvl w:val="9"/>
    </w:pPr>
  </w:style>
  <w:style w:customStyle="1" w:styleId="DFTableText" w:type="paragraph">
    <w:name w:val="Table Text"/>
    <w:basedOn w:val="Compact"/>
    <w:qFormat/>
    <w:pPr>
      <w:spacing w:after="20" w:before="20" w:line="408" w:lineRule="atLeast"/>
    </w:pPr>
    <w:rPr>
      <w:sz w:val="22"/>
      <w:szCs w:val="22"/>
    </w:rPr>
  </w:style>
  <w:style w:customStyle="1" w:styleId="SourceCode" w:type="paragraph">
    <w:name w:val="Source Code"/>
    <w:basedOn w:val="Normal"/>
    <w:qFormat/>
    <w:pPr>
      <w:pBdr>
        <w:top w:color="000000" w:space="4" w:sz="4" w:val="single"/>
        <w:left w:color="000000" w:space="4" w:sz="4" w:val="single"/>
        <w:bottom w:color="000000" w:space="4" w:sz="4" w:val="single"/>
        <w:right w:color="000000" w:space="4" w:sz="4" w:val="single"/>
      </w:pBdr>
      <w:shd w:color="auto" w:fill="F6F8FA" w:val="clear"/>
      <w:wordWrap w:val="0"/>
      <w:spacing w:after="120" w:before="120" w:line="260" w:lineRule="auto"/>
      <w:jc w:val="left"/>
    </w:pPr>
    <w:rPr>
      <w:rFonts w:ascii="Consolas" w:cs="Consolas" w:eastAsia="黑体" w:hAnsi="Consolas" w:hint="eastAsia"/>
      <w:sz w:val="21"/>
    </w:rPr>
  </w:style>
  <w:style w:customStyle="1" w:styleId="DFEquation" w:type="paragraph">
    <w:name w:val="DF Equation"/>
    <w:basedOn w:val="Normal"/>
    <w:qFormat/>
    <w:pPr>
      <w:keepLines/>
      <w:tabs>
        <w:tab w:pos="4535" w:val="center"/>
        <w:tab w:pos="9071" w:val="right"/>
      </w:tabs>
      <w:spacing w:after="120" w:before="120" w:line="240" w:lineRule="auto"/>
      <w:ind w:firstLine="0" w:firstLineChars="0"/>
      <w:jc w:val="left"/>
    </w:pPr>
  </w:style>
  <w:style w:styleId="TOC1" w:type="paragraph">
    <w:name w:val="toc 1"/>
    <w:basedOn w:val="Normal"/>
    <w:next w:val="BodyText"/>
    <w:qFormat/>
    <w:pPr>
      <w:spacing w:after="40" w:before="40"/>
      <w:ind w:left="0"/>
    </w:pPr>
    <w:rPr>
      <w:b/>
    </w:rPr>
  </w:style>
  <w:style w:styleId="TOC2" w:type="paragraph">
    <w:name w:val="toc 2"/>
    <w:basedOn w:val="Normal"/>
    <w:next w:val="BodyText"/>
    <w:qFormat/>
    <w:pPr>
      <w:spacing w:after="40" w:before="40"/>
      <w:ind w:left="420"/>
    </w:pPr>
  </w:style>
  <w:style w:styleId="TOC3" w:type="paragraph">
    <w:name w:val="toc 3"/>
    <w:basedOn w:val="Normal"/>
    <w:next w:val="BodyText"/>
    <w:qFormat/>
    <w:pPr>
      <w:spacing w:after="40" w:before="40"/>
      <w:ind w:left="840"/>
    </w:pPr>
  </w:style>
  <w:style w:type="character" w:customStyle="1" w:styleId="KeywordTok">
    <w:name w:val="KeywordTok"/>
    <w:basedOn w:val="VerbatimChar"/>
    <w:rPr>
      <w:b/>
      <w:color w:val="204a87"/>
      <w:shd w:val="clear" w:fill="f8f8f8"/>
    </w:rPr>
  </w:style>
  <w:style w:type="character" w:customStyle="1" w:styleId="DataTypeTok">
    <w:name w:val="DataTypeTok"/>
    <w:basedOn w:val="VerbatimChar"/>
    <w:rPr>
      <w:color w:val="204a87"/>
      <w:shd w:val="clear" w:fill="f8f8f8"/>
    </w:rPr>
  </w:style>
  <w:style w:type="character" w:customStyle="1" w:styleId="DecValTok">
    <w:name w:val="DecValTok"/>
    <w:basedOn w:val="VerbatimChar"/>
    <w:rPr>
      <w:color w:val="0000cf"/>
      <w:shd w:val="clear" w:fill="f8f8f8"/>
    </w:rPr>
  </w:style>
  <w:style w:type="character" w:customStyle="1" w:styleId="BaseNTok">
    <w:name w:val="BaseNTok"/>
    <w:basedOn w:val="VerbatimChar"/>
    <w:rPr>
      <w:color w:val="0000cf"/>
      <w:shd w:val="clear" w:fill="f8f8f8"/>
    </w:rPr>
  </w:style>
  <w:style w:type="character" w:customStyle="1" w:styleId="FloatTok">
    <w:name w:val="FloatTok"/>
    <w:basedOn w:val="VerbatimChar"/>
    <w:rPr>
      <w:color w:val="0000cf"/>
      <w:shd w:val="clear" w:fill="f8f8f8"/>
    </w:rPr>
  </w:style>
  <w:style w:type="character" w:customStyle="1" w:styleId="ConstantTok">
    <w:name w:val="ConstantTok"/>
    <w:basedOn w:val="VerbatimChar"/>
    <w:rPr>
      <w:color w:val="8f5902"/>
      <w:shd w:val="clear" w:fill="f8f8f8"/>
    </w:rPr>
  </w:style>
  <w:style w:type="character" w:customStyle="1" w:styleId="CharTok">
    <w:name w:val="CharTok"/>
    <w:basedOn w:val="VerbatimChar"/>
    <w:rPr>
      <w:color w:val="4e9a06"/>
      <w:shd w:val="clear" w:fill="f8f8f8"/>
    </w:rPr>
  </w:style>
  <w:style w:type="character" w:customStyle="1" w:styleId="SpecialCharTok">
    <w:name w:val="SpecialCharTok"/>
    <w:basedOn w:val="VerbatimChar"/>
    <w:rPr>
      <w:b/>
      <w:color w:val="ce5c00"/>
      <w:shd w:val="clear" w:fill="f8f8f8"/>
    </w:rPr>
  </w:style>
  <w:style w:type="character" w:customStyle="1" w:styleId="StringTok">
    <w:name w:val="StringTok"/>
    <w:basedOn w:val="VerbatimChar"/>
    <w:rPr>
      <w:color w:val="4e9a06"/>
      <w:shd w:val="clear" w:fill="f8f8f8"/>
    </w:rPr>
  </w:style>
  <w:style w:type="character" w:customStyle="1" w:styleId="VerbatimStringTok">
    <w:name w:val="VerbatimStringTok"/>
    <w:basedOn w:val="VerbatimChar"/>
    <w:rPr>
      <w:color w:val="4e9a06"/>
      <w:shd w:val="clear" w:fill="f8f8f8"/>
    </w:rPr>
  </w:style>
  <w:style w:type="character" w:customStyle="1" w:styleId="SpecialStringTok">
    <w:name w:val="SpecialStringTok"/>
    <w:basedOn w:val="VerbatimChar"/>
    <w:rPr>
      <w:color w:val="4e9a06"/>
      <w:shd w:val="clear" w:fill="f8f8f8"/>
    </w:rPr>
  </w:style>
  <w:style w:type="character" w:customStyle="1" w:styleId="ImportTok">
    <w:name w:val="ImportTok"/>
    <w:basedOn w:val="VerbatimChar"/>
    <w:rPr>
      <w:shd w:val="clear" w:fill="f8f8f8"/>
    </w:rPr>
  </w:style>
  <w:style w:type="character" w:customStyle="1" w:styleId="CommentTok">
    <w:name w:val="CommentTok"/>
    <w:basedOn w:val="VerbatimChar"/>
    <w:rPr>
      <w:i/>
      <w:color w:val="8f5902"/>
      <w:shd w:val="clear" w:fill="f8f8f8"/>
    </w:rPr>
  </w:style>
  <w:style w:type="character" w:customStyle="1" w:styleId="DocumentationTok">
    <w:name w:val="DocumentationTok"/>
    <w:basedOn w:val="VerbatimChar"/>
    <w:rPr>
      <w:b/>
      <w:i/>
      <w:color w:val="8f5902"/>
      <w:shd w:val="clear" w:fill="f8f8f8"/>
    </w:rPr>
  </w:style>
  <w:style w:type="character" w:customStyle="1" w:styleId="AnnotationTok">
    <w:name w:val="AnnotationTok"/>
    <w:basedOn w:val="VerbatimChar"/>
    <w:rPr>
      <w:b/>
      <w:i/>
      <w:color w:val="8f5902"/>
      <w:shd w:val="clear" w:fill="f8f8f8"/>
    </w:rPr>
  </w:style>
  <w:style w:type="character" w:customStyle="1" w:styleId="CommentVarTok">
    <w:name w:val="CommentVarTok"/>
    <w:basedOn w:val="VerbatimChar"/>
    <w:rPr>
      <w:b/>
      <w:i/>
      <w:color w:val="8f5902"/>
      <w:shd w:val="clear" w:fill="f8f8f8"/>
    </w:rPr>
  </w:style>
  <w:style w:type="character" w:customStyle="1" w:styleId="OtherTok">
    <w:name w:val="OtherTok"/>
    <w:basedOn w:val="VerbatimChar"/>
    <w:rPr>
      <w:color w:val="8f5902"/>
      <w:shd w:val="clear" w:fill="f8f8f8"/>
    </w:rPr>
  </w:style>
  <w:style w:type="character" w:customStyle="1" w:styleId="FunctionTok">
    <w:name w:val="FunctionTok"/>
    <w:basedOn w:val="VerbatimChar"/>
    <w:rPr>
      <w:b/>
      <w:color w:val="204a87"/>
      <w:shd w:val="clear" w:fill="f8f8f8"/>
    </w:rPr>
  </w:style>
  <w:style w:type="character" w:customStyle="1" w:styleId="VariableTok">
    <w:name w:val="VariableTok"/>
    <w:basedOn w:val="VerbatimChar"/>
    <w:rPr>
      <w:color w:val="000000"/>
      <w:shd w:val="clear" w:fill="f8f8f8"/>
    </w:rPr>
  </w:style>
  <w:style w:type="character" w:customStyle="1" w:styleId="ControlFlowTok">
    <w:name w:val="ControlFlowTok"/>
    <w:basedOn w:val="VerbatimChar"/>
    <w:rPr>
      <w:b/>
      <w:color w:val="204a87"/>
      <w:shd w:val="clear" w:fill="f8f8f8"/>
    </w:rPr>
  </w:style>
  <w:style w:type="character" w:customStyle="1" w:styleId="OperatorTok">
    <w:name w:val="OperatorTok"/>
    <w:basedOn w:val="VerbatimChar"/>
    <w:rPr>
      <w:b/>
      <w:color w:val="ce5c00"/>
      <w:shd w:val="clear" w:fill="f8f8f8"/>
    </w:rPr>
  </w:style>
  <w:style w:type="character" w:customStyle="1" w:styleId="BuiltInTok">
    <w:name w:val="BuiltInTok"/>
    <w:basedOn w:val="VerbatimChar"/>
    <w:rPr>
      <w:shd w:val="clear" w:fill="f8f8f8"/>
    </w:rPr>
  </w:style>
  <w:style w:type="character" w:customStyle="1" w:styleId="ExtensionTok">
    <w:name w:val="ExtensionTok"/>
    <w:basedOn w:val="VerbatimChar"/>
    <w:rPr>
      <w:shd w:val="clear" w:fill="f8f8f8"/>
    </w:rPr>
  </w:style>
  <w:style w:type="character" w:customStyle="1" w:styleId="PreprocessorTok">
    <w:name w:val="PreprocessorTok"/>
    <w:basedOn w:val="VerbatimChar"/>
    <w:rPr>
      <w:i/>
      <w:color w:val="8f5902"/>
      <w:shd w:val="clear" w:fill="f8f8f8"/>
    </w:rPr>
  </w:style>
  <w:style w:type="character" w:customStyle="1" w:styleId="AttributeTok">
    <w:name w:val="AttributeTok"/>
    <w:basedOn w:val="VerbatimChar"/>
    <w:rPr>
      <w:color w:val="204a87"/>
      <w:shd w:val="clear" w:fill="f8f8f8"/>
    </w:rPr>
  </w:style>
  <w:style w:type="character" w:customStyle="1" w:styleId="RegionMarkerTok">
    <w:name w:val="RegionMarkerTok"/>
    <w:basedOn w:val="VerbatimChar"/>
    <w:rPr>
      <w:shd w:val="clear" w:fill="f8f8f8"/>
    </w:rPr>
  </w:style>
  <w:style w:type="character" w:customStyle="1" w:styleId="InformationTok">
    <w:name w:val="InformationTok"/>
    <w:basedOn w:val="VerbatimChar"/>
    <w:rPr>
      <w:b/>
      <w:i/>
      <w:color w:val="8f5902"/>
      <w:shd w:val="clear" w:fill="f8f8f8"/>
    </w:rPr>
  </w:style>
  <w:style w:type="character" w:customStyle="1" w:styleId="WarningTok">
    <w:name w:val="WarningTok"/>
    <w:basedOn w:val="VerbatimChar"/>
    <w:rPr>
      <w:b/>
      <w:i/>
      <w:color w:val="8f5902"/>
      <w:shd w:val="clear" w:fill="f8f8f8"/>
    </w:rPr>
  </w:style>
  <w:style w:type="character" w:customStyle="1" w:styleId="AlertTok">
    <w:name w:val="AlertTok"/>
    <w:basedOn w:val="VerbatimChar"/>
    <w:rPr>
      <w:color w:val="ef2929"/>
      <w:shd w:val="clear" w:fill="f8f8f8"/>
    </w:rPr>
  </w:style>
  <w:style w:type="character" w:customStyle="1" w:styleId="ErrorTok">
    <w:name w:val="ErrorTok"/>
    <w:basedOn w:val="VerbatimChar"/>
    <w:rPr>
      <w:b/>
      <w:color w:val="a40000"/>
      <w:shd w:val="clear" w:fill="f8f8f8"/>
    </w:rPr>
  </w:style>
  <w:style w:type="character" w:customStyle="1" w:styleId="NormalTok">
    <w:name w:val="NormalTok"/>
    <w:basedOn w:val="VerbatimChar"/>
    <w:rPr>
      <w:shd w:val="clear" w:fill="f8f8f8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DfFooter1" Target="footer1.xml" Type="http://schemas.openxmlformats.org/officeDocument/2006/relationships/footer" /><Relationship Type="http://schemas.openxmlformats.org/officeDocument/2006/relationships/header" Id="rIdDfHeader1" Target="header1.xml"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rial" panose="02110004020202020204"/>
        <a:ea typeface="游ゴシック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Times New Roman" panose="02110004020202020204"/>
        <a:ea typeface="游明朝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都市住宅価格の空間的差異とその決定要因</dc:title>
  <dc:creator>王明　李華</dc:creator>
  <dc:language>ja-JP</dc:language>
  <cp:keywords/>
  <dcterms:created xsi:type="dcterms:W3CDTF">2026-10-27T10:32:06Z</dcterms:created>
  <dcterms:modified xsi:type="dcterms:W3CDTF">2026-10-27T10:32:06Z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bstract">
    <vt:lpwstr>本研究では、2020〜2025年の36都市における住宅取引データを用いてヘドニック価格モデルを推定し、立地、周辺施設、築年数が住宅価格に与える影響を分析した。鉄道アクセスが1標準偏差向上すると、単価は約6.8%上昇することが示された。</vt:lpwstr>
  </property>
  <property fmtid="{D5CDD505-2E9C-101B-9397-08002B2CF9AE}" pid="3" name="abstract-title">
    <vt:lpwstr>要旨</vt:lpwstr>
  </property>
  <property fmtid="{D5CDD505-2E9C-101B-9397-08002B2CF9AE}" pid="4" name="bibliography">
    <vt:lpwstr/>
  </property>
  <property fmtid="{D5CDD505-2E9C-101B-9397-08002B2CF9AE}" pid="5" name="csl">
    <vt:lpwstr>/Users/arthur/business-os/md-to-pdf-word/src/docforge/assets/csl/gb-t-7714-2015-numeric.csl</vt:lpwstr>
  </property>
  <property fmtid="{D5CDD505-2E9C-101B-9397-08002B2CF9AE}" pid="6" name="date">
    <vt:lpwstr>2026年9月</vt:lpwstr>
  </property>
  <property fmtid="{D5CDD505-2E9C-101B-9397-08002B2CF9AE}" pid="7" name="link-citations">
    <vt:lpwstr>True</vt:lpwstr>
  </property>
</Properties>
</file>