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fr-FR"/>
        </w:rPr>
        <w:t xml:space="preserve">Variation spatiale des prix du logement et ses déterminants</w:t>
      </w:r>
    </w:p>
    <w:p>
      <w:pPr>
        <w:pStyle w:val="Author"/>
      </w:pPr>
      <w:r>
        <w:rPr>
          <w:lang w:val="fr-FR"/>
        </w:rPr>
        <w:t xml:space="preserve">Ming Wang, Hua Li</w:t>
      </w:r>
    </w:p>
    <w:p>
      <w:pPr>
        <w:pStyle w:val="Date"/>
      </w:pPr>
      <w:r>
        <w:rPr>
          <w:lang w:val="fr-FR"/>
        </w:rPr>
        <w:t xml:space="preserve">Septembre 2026</w:t>
      </w:r>
    </w:p>
    <w:p>
      <w:pPr>
        <w:pStyle w:val="AbstractTitle"/>
      </w:pPr>
      <w:r>
        <w:t xml:space="preserve">Résumé</w:t>
      </w:r>
    </w:p>
    <w:p>
      <w:pPr>
        <w:pStyle w:val="Abstract"/>
      </w:pPr>
      <w:r>
        <w:rPr>
          <w:lang w:val="fr-FR"/>
        </w:rPr>
        <w:t xml:space="preserve">À partir des transactions de 36 villes entre 2020 et 2025, nous estimons un modèle de prix hédoniques intégrant la localisation, les équipements et l’âge du bâti. Une hausse d’un écart type de l’accessibilité en transport ferré augmente le prix unitaire d’environ 6,8 %.</w:t>
      </w:r>
    </w:p>
    <w:p>
      <w:pPr>
        <w:pStyle w:val="Heading1"/>
      </w:pPr>
      <w:bookmarkStart w:id="9" w:name="introduction"/>
      <w:r>
        <w:rPr>
          <w:rStyle w:val="SectionNumber"/>
          <w:lang w:val="fr-FR"/>
        </w:rPr>
        <w:t xml:space="preserve">1</w:t>
      </w:r>
      <w:r>
        <w:tab/>
      </w:r>
      <w:r>
        <w:rPr>
          <w:lang w:val="fr-FR"/>
        </w:rPr>
        <w:t xml:space="preserve">Introduction</w:t>
      </w:r>
      <w:bookmarkEnd w:id="9"/>
    </w:p>
    <w:p>
      <w:pPr>
        <w:pStyle w:val="FirstParagraph"/>
      </w:pPr>
      <w:r>
        <w:rPr>
          <w:lang w:val="fr-FR"/>
        </w:rPr>
        <w:t xml:space="preserve">Les écarts spatiaux de prix du logement sont une question centrale de l’économie urbaine. La plupart des travaux recourent aux prix hédoniques</w:t>
      </w:r>
      <w:r>
        <w:rPr>
          <w:vertAlign w:val="superscript"/>
          <w:lang w:val="fr-FR"/>
        </w:rPr>
        <w:t xml:space="preserve">[</w:t>
      </w:r>
      <w:hyperlink w:anchor="ref_smith2021">
        <w:r>
          <w:rPr>
            <w:rStyle w:val="Hyperlink"/>
            <w:vertAlign w:val="superscript"/>
            <w:lang w:val="fr-FR"/>
          </w:rPr>
          <w:t xml:space="preserve">1</w:t>
        </w:r>
      </w:hyperlink>
      <w:r>
        <w:rPr>
          <w:vertAlign w:val="superscript"/>
          <w:lang w:val="fr-FR"/>
        </w:rPr>
        <w:t xml:space="preserve">]</w:t>
      </w:r>
      <w:r>
        <w:rPr>
          <w:lang w:val="fr-FR"/>
        </w:rPr>
        <w:t xml:space="preserve"> </w:t>
      </w:r>
      <w:r>
        <w:rPr>
          <w:lang w:val="fr-FR"/>
        </w:rPr>
        <w:t xml:space="preserve">; d’autres discutent des coefficients d’ajustement de la méthode par comparaison</w:t>
      </w:r>
      <w:r>
        <w:rPr>
          <w:vertAlign w:val="superscript"/>
          <w:lang w:val="fr-FR"/>
        </w:rPr>
        <w:t xml:space="preserve">[</w:t>
      </w:r>
      <w:hyperlink w:anchor="ref_zhang2024">
        <w:r>
          <w:rPr>
            <w:rStyle w:val="Hyperlink"/>
            <w:vertAlign w:val="superscript"/>
            <w:lang w:val="fr-FR"/>
          </w:rPr>
          <w:t xml:space="preserve">2</w:t>
        </w:r>
      </w:hyperlink>
      <w:r>
        <w:rPr>
          <w:vertAlign w:val="superscript"/>
          <w:lang w:val="fr-FR"/>
        </w:rPr>
        <w:t xml:space="preserve">]</w:t>
      </w:r>
      <w:r>
        <w:rPr>
          <w:lang w:val="fr-FR"/>
        </w:rPr>
        <w:t xml:space="preserve">.</w:t>
      </w:r>
    </w:p>
    <w:p>
      <w:pPr>
        <w:pStyle w:val="Heading1"/>
      </w:pPr>
      <w:bookmarkStart w:id="11" w:name="mod_le"/>
      <w:r>
        <w:rPr>
          <w:rStyle w:val="SectionNumber"/>
          <w:lang w:val="fr-FR"/>
        </w:rPr>
        <w:t xml:space="preserve">2</w:t>
      </w:r>
      <w:r>
        <w:tab/>
      </w:r>
      <w:r>
        <w:rPr>
          <w:lang w:val="fr-FR"/>
        </w:rPr>
        <w:t xml:space="preserve">Modèle</w:t>
      </w:r>
      <w:bookmarkEnd w:id="11"/>
    </w:p>
    <w:p>
      <w:pPr>
        <w:pStyle w:val="FirstParagraph"/>
      </w:pPr>
      <w:r>
        <w:rPr>
          <w:lang w:val="fr-FR"/>
        </w:rPr>
        <w:t xml:space="preserve">Soit</w:t>
      </w:r>
      <w:r>
        <w:rPr>
          <w:lang w:val="fr-FR"/>
        </w:rPr>
        <w:t xml:space="preserve"> </w:t>
      </w:r>
      <m:oMath>
        <m:sSub>
          <m:e>
            <m:r>
              <m:t>P</m:t>
            </m:r>
          </m:e>
          <m:sub>
            <m:r>
              <m:t>i</m:t>
            </m:r>
          </m:sub>
        </m:sSub>
      </m:oMath>
      <w:r>
        <w:rPr>
          <w:lang w:val="fr-FR"/>
        </w:rPr>
        <w:t xml:space="preserve"> </w:t>
      </w:r>
      <w:r>
        <w:rPr>
          <w:lang w:val="fr-FR"/>
        </w:rPr>
        <w:t xml:space="preserve">le prix du logement</w:t>
      </w:r>
      <w:r>
        <w:rPr>
          <w:lang w:val="fr-FR"/>
        </w:rPr>
        <w:t xml:space="preserve"> </w:t>
      </w:r>
      <m:oMath>
        <m:r>
          <m:t>i</m:t>
        </m:r>
      </m:oMath>
      <w:r>
        <w:rPr>
          <w:lang w:val="fr-FR"/>
        </w:rPr>
        <w:t xml:space="preserve"> </w:t>
      </w:r>
      <w:r>
        <w:rPr>
          <w:lang w:val="fr-FR"/>
        </w:rPr>
        <w:t xml:space="preserve">et</w:t>
      </w:r>
      <w:r>
        <w:rPr>
          <w:lang w:val="fr-FR"/>
        </w:rPr>
        <w:t xml:space="preserve"> </w:t>
      </w:r>
      <m:oMath>
        <m:sSub>
          <m:e>
            <m:r>
              <m:rPr>
                <m:sty m:val="bi"/>
              </m:rPr>
              <m:t>x</m:t>
            </m:r>
          </m:e>
          <m:sub>
            <m:r>
              <m:t>i</m:t>
            </m:r>
          </m:sub>
        </m:sSub>
      </m:oMath>
      <w:r>
        <w:rPr>
          <w:lang w:val="fr-FR"/>
        </w:rPr>
        <w:t xml:space="preserve"> </w:t>
      </w:r>
      <w:r>
        <w:rPr>
          <w:lang w:val="fr-FR"/>
        </w:rPr>
        <w:t xml:space="preserve">le vecteur de ses caractéristiques. Nous retenons la forme semi-logarithmique</w:t>
      </w:r>
    </w:p>
    <w:p>
      <w:pPr>
        <w:pStyle w:val="DFEquation"/>
      </w:pPr>
      <w:r>
        <w:tab/>
      </w:r>
      <m:oMath>
        <m:r>
          <m:rPr>
            <m:sty m:val="p"/>
          </m:rPr>
          <m:t>ln</m:t>
        </m:r>
        <m:sSub>
          <m:e>
            <m:r>
              <m:t>P</m:t>
            </m:r>
          </m:e>
          <m:sub>
            <m:r>
              <m:t>i</m:t>
            </m:r>
          </m:sub>
        </m:sSub>
        <m:r>
          <m:rPr>
            <m:sty m:val="p"/>
          </m:rPr>
          <m:t>=</m:t>
        </m:r>
        <m:sSub>
          <m:e>
            <m:r>
              <m:t>β</m:t>
            </m:r>
          </m:e>
          <m:sub>
            <m:r>
              <m:t>0</m:t>
            </m:r>
          </m:sub>
        </m:sSub>
        <m:r>
          <m:rPr>
            <m:sty m:val="p"/>
          </m:rPr>
          <m:t>+</m:t>
        </m:r>
        <m:nary>
          <m:naryPr>
            <m:chr m:val="∑"/>
            <m:limLoc m:val="undOvr"/>
            <m:subHide m:val="off"/>
            <m:supHide m:val="off"/>
          </m:naryPr>
          <m:sub>
            <m:r>
              <m:t>k</m:t>
            </m:r>
            <m:r>
              <m:rPr>
                <m:sty m:val="p"/>
              </m:rPr>
              <m:t>=</m:t>
            </m:r>
            <m:r>
              <m:t>1</m:t>
            </m:r>
          </m:sub>
          <m:sup>
            <m:r>
              <m:t>K</m:t>
            </m:r>
          </m:sup>
          <m:e>
            <m:sSub>
              <m:e>
                <m:r>
                  <m:t>β</m:t>
                </m:r>
              </m:e>
              <m:sub>
                <m:r>
                  <m:t>k</m:t>
                </m:r>
              </m:sub>
            </m:sSub>
          </m:e>
        </m:nary>
        <m:sSub>
          <m:e>
            <m:r>
              <m:t>x</m:t>
            </m:r>
          </m:e>
          <m:sub>
            <m:r>
              <m:t>i</m:t>
            </m:r>
            <m:r>
              <m:t>k</m:t>
            </m:r>
          </m:sub>
        </m:sSub>
        <m:r>
          <m:rPr>
            <m:sty m:val="p"/>
          </m:rPr>
          <m:t>+</m:t>
        </m:r>
        <m:sSub>
          <m:e>
            <m:r>
              <m:t>ε</m:t>
            </m:r>
          </m:e>
          <m:sub>
            <m:r>
              <m:t>i</m:t>
            </m:r>
          </m:sub>
        </m:sSub>
      </m:oMath>
      <w:r>
        <w:tab/>
      </w:r>
      <w:bookmarkStart w:id="10" w:name="eq_hedonic"/>
      <w:r>
        <w:rPr>
          <w:lang w:val="fr-FR"/>
        </w:rPr>
        <w:t xml:space="preserve">(1)</w:t>
      </w:r>
      <w:bookmarkEnd w:id="10"/>
    </w:p>
    <w:p>
      <w:pPr>
        <w:pStyle w:val="BodyText"/>
      </w:pPr>
      <w:r>
        <w:rPr>
          <w:lang w:val="fr-FR"/>
        </w:rPr>
        <w:t xml:space="preserve">où</w:t>
      </w:r>
      <w:r>
        <w:rPr>
          <w:lang w:val="fr-FR"/>
        </w:rPr>
        <w:t xml:space="preserve"> </w:t>
      </w:r>
      <m:oMath>
        <m:sSub>
          <m:e>
            <m:r>
              <m:t>β</m:t>
            </m:r>
          </m:e>
          <m:sub>
            <m:r>
              <m:t>k</m:t>
            </m:r>
          </m:sub>
        </m:sSub>
      </m:oMath>
      <w:r>
        <w:rPr>
          <w:lang w:val="fr-FR"/>
        </w:rPr>
        <w:t xml:space="preserve"> </w:t>
      </w:r>
      <w:r>
        <w:rPr>
          <w:lang w:val="fr-FR"/>
        </w:rPr>
        <w:t xml:space="preserve">dans l’</w:t>
      </w:r>
      <w:hyperlink w:anchor="eq_hedonic">
        <w:r>
          <w:rPr>
            <w:rStyle w:val="Hyperlink"/>
            <w:lang w:val="fr-FR"/>
          </w:rPr>
          <w:t xml:space="preserve">Éq. (1)</w:t>
        </w:r>
      </w:hyperlink>
      <w:r>
        <w:rPr>
          <w:lang w:val="fr-FR"/>
        </w:rPr>
        <w:t xml:space="preserve"> </w:t>
      </w:r>
      <w:r>
        <w:rPr>
          <w:lang w:val="fr-FR"/>
        </w:rPr>
        <w:t xml:space="preserve">mesure l’effet marginal de la caractéristique</w:t>
      </w:r>
      <w:r>
        <w:rPr>
          <w:lang w:val="fr-FR"/>
        </w:rPr>
        <w:t xml:space="preserve"> </w:t>
      </w:r>
      <m:oMath>
        <m:r>
          <m:t>k</m:t>
        </m:r>
      </m:oMath>
      <w:r>
        <w:rPr>
          <w:lang w:val="fr-FR"/>
        </w:rPr>
        <w:t xml:space="preserve">.</w:t>
      </w:r>
    </w:p>
    <w:p>
      <w:pPr>
        <w:pStyle w:val="Heading1"/>
      </w:pPr>
      <w:bookmarkStart w:id="14" w:name="r_sultats"/>
      <w:r>
        <w:rPr>
          <w:rStyle w:val="SectionNumber"/>
          <w:lang w:val="fr-FR"/>
        </w:rPr>
        <w:t xml:space="preserve">3</w:t>
      </w:r>
      <w:r>
        <w:tab/>
      </w:r>
      <w:r>
        <w:rPr>
          <w:lang w:val="fr-FR"/>
        </w:rPr>
        <w:t xml:space="preserve">Résultats</w:t>
      </w:r>
      <w:bookmarkEnd w:id="14"/>
    </w:p>
    <w:p>
      <w:pPr>
        <w:pStyle w:val="TableCaption"/>
      </w:pPr>
      <w:bookmarkStart w:id="13" w:name="tbl_est"/>
      <w:bookmarkStart w:id="12" w:name="tbl_est"/>
      <w:r>
        <w:rPr>
          <w:lang w:val="fr-FR"/>
        </w:rPr>
        <w:t xml:space="preserve">Tableau </w:t>
      </w:r>
      <w:fldSimple w:instr="SEQ Table \* ARABIC ">
        <w:r>
          <w:t>1</w:t>
        </w:r>
      </w:fldSimple>
      <w:bookmarkEnd w:id="12"/>
      <w:r>
        <w:rPr>
          <w:lang w:val="fr-FR"/>
        </w:rPr>
        <w:t xml:space="preserve">. Estimation du modèle hédonique</w:t>
      </w:r>
      <w:bookmarkEnd w:id="13"/>
    </w:p>
    <w:tbl>
      <w:tblPr>
        <w:tblStyle w:val="Table"/>
        <w:tblW w:type="dxa" w:w="5910"/>
        <w:jc w:val="center"/>
        <w:tblBorders>
          <w:top w:val="single" w:sz="12" w:space="0" w:color="000000"/>
          <w:left w:val="nil" w:sz="0" w:space="0" w:color="auto"/>
          <w:bottom w:val="single" w:sz="12" w:space="0" w:color="000000"/>
          <w:right w:val="nil" w:sz="0" w:space="0" w:color="auto"/>
          <w:insideH w:val="nil" w:sz="0" w:space="0" w:color="auto"/>
          <w:insideV w:val="nil" w:sz="0" w:space="0" w:color="auto"/>
        </w:tblBorders>
        <w:tblLayout w:type="fixed"/>
        <w:tblCellMar>
          <w:top w:w="50" w:type="dxa"/>
          <w:left w:w="100" w:type="dxa"/>
          <w:bottom w:w="50" w:type="dxa"/>
          <w:right w:w="100" w:type="dxa"/>
        </w:tblCellMar>
        <w:tblLook w:firstRow="1" w:lastRow="0" w:firstColumn="0" w:lastColumn="0" w:noHBand="0" w:noVBand="0" w:val="0020"/>
        <w:tblCaption w:val="Estimation du modèle hédonique"/>
      </w:tblPr>
      <w:tblGrid>
        <w:gridCol w:w="3123"/>
        <w:gridCol w:w="1003"/>
        <w:gridCol w:w="892"/>
        <w:gridCol w:w="892"/>
      </w:tblGrid>
      <w:tr>
        <w:trPr>
          <w:cantSplit/>
          <w:tblHeader w:val="on"/>
        </w:trPr>
        <w:tc>
          <w:tcPr>
            <w:tcBorders>
              <w:bottom w:val="single" w:sz="6" w:space="0" w:color="000000"/>
            </w:tcBorders>
            <w:vAlign w:val="center"/>
          </w:tcPr>
          <w:p>
            <w:pPr>
              <w:pStyle w:val="DFTableText"/>
            </w:pPr>
            <w:r>
              <w:rPr>
                <w:b/>
                <w:bCs/>
                <w:color w:val="000000"/>
                <w:lang w:val="fr-FR"/>
              </w:rPr>
              <w:t xml:space="preserve">Variable</w:t>
            </w:r>
          </w:p>
        </w:tc>
        <w:tc>
          <w:tcPr>
            <w:tcBorders>
              <w:bottom w:val="single" w:sz="6" w:space="0" w:color="000000"/>
            </w:tcBorders>
            <w:vAlign w:val="center"/>
          </w:tcPr>
          <w:p>
            <w:pPr>
              <w:pStyle w:val="DFTableText"/>
              <w:jc w:val="right"/>
            </w:pPr>
            <w:r>
              <w:rPr>
                <w:b/>
                <w:bCs/>
                <w:color w:val="000000"/>
                <w:lang w:val="fr-FR"/>
              </w:rPr>
              <w:t xml:space="preserve">Coef.</w:t>
            </w:r>
          </w:p>
        </w:tc>
        <w:tc>
          <w:tcPr>
            <w:tcBorders>
              <w:bottom w:val="single" w:sz="6" w:space="0" w:color="000000"/>
            </w:tcBorders>
            <w:vAlign w:val="center"/>
          </w:tcPr>
          <w:p>
            <w:pPr>
              <w:pStyle w:val="DFTableText"/>
              <w:jc w:val="right"/>
            </w:pPr>
            <w:r>
              <w:rPr>
                <w:b/>
                <w:bCs/>
                <w:color w:val="000000"/>
                <w:lang w:val="fr-FR"/>
              </w:rPr>
              <w:t xml:space="preserve">É.-T.</w:t>
            </w:r>
          </w:p>
        </w:tc>
        <w:tc>
          <w:tcPr>
            <w:tcBorders>
              <w:bottom w:val="single" w:sz="6" w:space="0" w:color="000000"/>
            </w:tcBorders>
            <w:vAlign w:val="center"/>
          </w:tcPr>
          <w:p>
            <w:pPr>
              <w:pStyle w:val="DFTableText"/>
              <w:jc w:val="center"/>
            </w:pPr>
            <w:r>
              <w:rPr>
                <w:b/>
                <w:bCs/>
                <w:color w:val="000000"/>
                <w:lang w:val="fr-FR"/>
              </w:rPr>
              <w:t xml:space="preserve">Sign.</w:t>
            </w:r>
          </w:p>
        </w:tc>
      </w:tr>
      <w:tr>
        <w:trPr>
          <w:cantSplit/>
        </w:trPr>
        <w:tc>
          <w:tcPr>
            <w:vAlign w:val="center"/>
          </w:tcPr>
          <w:p>
            <w:pPr>
              <w:pStyle w:val="DFTableText"/>
            </w:pPr>
            <w:r>
              <w:rPr>
                <w:lang w:val="fr-FR"/>
              </w:rPr>
              <w:t xml:space="preserve">Accessibilité ferroviaire</w:t>
            </w:r>
          </w:p>
        </w:tc>
        <w:tc>
          <w:tcPr>
            <w:vAlign w:val="center"/>
          </w:tcPr>
          <w:p>
            <w:pPr>
              <w:pStyle w:val="DFTableText"/>
              <w:jc w:val="right"/>
            </w:pPr>
            <w:r>
              <w:rPr>
                <w:lang w:val="fr-FR"/>
              </w:rPr>
              <w:t xml:space="preserve">0,068</w:t>
            </w:r>
          </w:p>
        </w:tc>
        <w:tc>
          <w:tcPr>
            <w:vAlign w:val="center"/>
          </w:tcPr>
          <w:p>
            <w:pPr>
              <w:pStyle w:val="DFTableText"/>
              <w:jc w:val="right"/>
            </w:pPr>
            <w:r>
              <w:rPr>
                <w:lang w:val="fr-FR"/>
              </w:rPr>
              <w:t xml:space="preserve">0,009</w:t>
            </w:r>
          </w:p>
        </w:tc>
        <w:tc>
          <w:tcPr>
            <w:vAlign w:val="center"/>
          </w:tcPr>
          <w:p>
            <w:pPr>
              <w:pStyle w:val="DFTableText"/>
              <w:jc w:val="center"/>
            </w:pPr>
            <w:r>
              <w:rPr>
                <w:lang w:val="fr-FR"/>
              </w:rPr>
              <w:t xml:space="preserve">***</w:t>
            </w:r>
          </w:p>
        </w:tc>
      </w:tr>
      <w:tr>
        <w:trPr>
          <w:cantSplit/>
        </w:trPr>
        <w:tc>
          <w:tcPr>
            <w:vAlign w:val="center"/>
          </w:tcPr>
          <w:p>
            <w:pPr>
              <w:pStyle w:val="DFTableText"/>
            </w:pPr>
            <w:r>
              <w:rPr>
                <w:lang w:val="fr-FR"/>
              </w:rPr>
              <w:t xml:space="preserve">Qualité scolaire</w:t>
            </w:r>
          </w:p>
        </w:tc>
        <w:tc>
          <w:tcPr>
            <w:vAlign w:val="center"/>
          </w:tcPr>
          <w:p>
            <w:pPr>
              <w:pStyle w:val="DFTableText"/>
              <w:jc w:val="right"/>
            </w:pPr>
            <w:r>
              <w:rPr>
                <w:lang w:val="fr-FR"/>
              </w:rPr>
              <w:t xml:space="preserve">0,052</w:t>
            </w:r>
          </w:p>
        </w:tc>
        <w:tc>
          <w:tcPr>
            <w:vAlign w:val="center"/>
          </w:tcPr>
          <w:p>
            <w:pPr>
              <w:pStyle w:val="DFTableText"/>
              <w:jc w:val="right"/>
            </w:pPr>
            <w:r>
              <w:rPr>
                <w:lang w:val="fr-FR"/>
              </w:rPr>
              <w:t xml:space="preserve">0,011</w:t>
            </w:r>
          </w:p>
        </w:tc>
        <w:tc>
          <w:tcPr>
            <w:vAlign w:val="center"/>
          </w:tcPr>
          <w:p>
            <w:pPr>
              <w:pStyle w:val="DFTableText"/>
              <w:jc w:val="center"/>
            </w:pPr>
            <w:r>
              <w:rPr>
                <w:lang w:val="fr-FR"/>
              </w:rPr>
              <w:t xml:space="preserve">***</w:t>
            </w:r>
          </w:p>
        </w:tc>
      </w:tr>
      <w:tr>
        <w:trPr>
          <w:cantSplit/>
        </w:trPr>
        <w:tc>
          <w:tcPr>
            <w:vAlign w:val="center"/>
          </w:tcPr>
          <w:p>
            <w:pPr>
              <w:pStyle w:val="DFTableText"/>
            </w:pPr>
            <w:r>
              <w:rPr>
                <w:lang w:val="fr-FR"/>
              </w:rPr>
              <w:t xml:space="preserve">Âge du bâti (années)</w:t>
            </w:r>
          </w:p>
        </w:tc>
        <w:tc>
          <w:tcPr>
            <w:vAlign w:val="center"/>
          </w:tcPr>
          <w:p>
            <w:pPr>
              <w:pStyle w:val="DFTableText"/>
              <w:jc w:val="right"/>
            </w:pPr>
            <w:r>
              <w:rPr>
                <w:lang w:val="fr-FR"/>
              </w:rPr>
              <w:t xml:space="preserve">−0,007</w:t>
            </w:r>
          </w:p>
        </w:tc>
        <w:tc>
          <w:tcPr>
            <w:vAlign w:val="center"/>
          </w:tcPr>
          <w:p>
            <w:pPr>
              <w:pStyle w:val="DFTableText"/>
              <w:jc w:val="right"/>
            </w:pPr>
            <w:r>
              <w:rPr>
                <w:lang w:val="fr-FR"/>
              </w:rPr>
              <w:t xml:space="preserve">0,002</w:t>
            </w:r>
          </w:p>
        </w:tc>
        <w:tc>
          <w:tcPr>
            <w:vAlign w:val="center"/>
          </w:tcPr>
          <w:p>
            <w:pPr>
              <w:pStyle w:val="DFTableText"/>
              <w:jc w:val="center"/>
            </w:pPr>
            <w:r>
              <w:rPr>
                <w:lang w:val="fr-FR"/>
              </w:rPr>
              <w:t xml:space="preserve">**</w:t>
            </w:r>
          </w:p>
        </w:tc>
      </w:tr>
      <w:tr>
        <w:trPr>
          <w:cantSplit/>
        </w:trPr>
        <w:tc>
          <w:tcPr>
            <w:vAlign w:val="center"/>
          </w:tcPr>
          <w:p>
            <w:pPr>
              <w:pStyle w:val="DFTableText"/>
            </w:pPr>
            <w:r>
              <w:rPr>
                <w:lang w:val="fr-FR"/>
              </w:rPr>
              <w:t xml:space="preserve">Coefficient d’occupation</w:t>
            </w:r>
          </w:p>
        </w:tc>
        <w:tc>
          <w:tcPr>
            <w:vAlign w:val="center"/>
          </w:tcPr>
          <w:p>
            <w:pPr>
              <w:pStyle w:val="DFTableText"/>
              <w:jc w:val="right"/>
            </w:pPr>
            <w:r>
              <w:rPr>
                <w:lang w:val="fr-FR"/>
              </w:rPr>
              <w:t xml:space="preserve">−0,015</w:t>
            </w:r>
          </w:p>
        </w:tc>
        <w:tc>
          <w:tcPr>
            <w:vAlign w:val="center"/>
          </w:tcPr>
          <w:p>
            <w:pPr>
              <w:pStyle w:val="DFTableText"/>
              <w:jc w:val="right"/>
            </w:pPr>
            <w:r>
              <w:rPr>
                <w:lang w:val="fr-FR"/>
              </w:rPr>
              <w:t xml:space="preserve">0,006</w:t>
            </w:r>
          </w:p>
        </w:tc>
        <w:tc>
          <w:tcPr>
            <w:vAlign w:val="center"/>
          </w:tcPr>
          <w:p>
            <w:pPr>
              <w:pStyle w:val="DFTableText"/>
              <w:jc w:val="center"/>
            </w:pPr>
            <w:r>
              <w:rPr>
                <w:lang w:val="fr-FR"/>
              </w:rPr>
              <w:t xml:space="preserve">*</w:t>
            </w:r>
          </w:p>
        </w:tc>
      </w:tr>
    </w:tbl>
    <w:p>
      <w:pPr>
        <w:pStyle w:val="Heading1"/>
      </w:pPr>
      <w:bookmarkStart w:id="18" w:name="r_f_rences"/>
      <w:r>
        <w:rPr>
          <w:lang w:val="fr-FR"/>
        </w:rPr>
        <w:t xml:space="preserve">Références</w:t>
      </w:r>
      <w:bookmarkEnd w:id="18"/>
    </w:p>
    <w:p>
      <w:pPr>
        <w:pStyle w:val="Bibliography"/>
      </w:pPr>
      <w:bookmarkStart w:id="15" w:name="ref_smith2021"/>
      <w:bookmarkStart w:id="17" w:name="refs"/>
      <w:r>
        <w:rPr>
          <w:lang w:val="fr-FR"/>
        </w:rPr>
        <w:t xml:space="preserve">[1]</w:t>
      </w:r>
      <w:r>
        <w:rPr>
          <w:lang w:val="fr-FR"/>
        </w:rPr>
        <w:t xml:space="preserve"> </w:t>
      </w:r>
      <w:r>
        <w:t xml:space="preserve">	</w:t>
      </w:r>
      <w:r>
        <w:rPr>
          <w:lang w:val="fr-FR"/>
        </w:rPr>
        <w:t xml:space="preserve">SMITH J, DOE J. Hedonic pricing of residential property[J]. Journal of Real Estate Research, 2021, 43(2): 101-125.</w:t>
      </w:r>
      <w:bookmarkEnd w:id="17"/>
      <w:bookmarkEnd w:id="15"/>
    </w:p>
    <w:p>
      <w:pPr>
        <w:pStyle w:val="Bibliography"/>
      </w:pPr>
      <w:bookmarkStart w:id="16" w:name="ref_zhang2024"/>
      <w:r>
        <w:rPr>
          <w:lang w:val="fr-FR"/>
        </w:rPr>
        <w:t xml:space="preserve">[2]</w:t>
      </w:r>
      <w:r>
        <w:rPr>
          <w:lang w:val="fr-FR"/>
        </w:rPr>
        <w:t xml:space="preserve"> </w:t>
      </w:r>
      <w:r>
        <w:t xml:space="preserve">	</w:t>
      </w:r>
      <w:r>
        <w:rPr>
          <w:rFonts w:hint="eastAsia"/>
          <w:lang w:val="fr-FR"/>
        </w:rPr>
        <w:t xml:space="preserve">张三,</w:t>
      </w:r>
      <w:r>
        <w:rPr>
          <w:lang w:val="fr-FR"/>
        </w:rPr>
        <w:t xml:space="preserve"> </w:t>
      </w:r>
      <w:r>
        <w:rPr>
          <w:rFonts w:hint="eastAsia"/>
          <w:lang w:val="fr-FR"/>
        </w:rPr>
        <w:t xml:space="preserve">李四.</w:t>
      </w:r>
      <w:r>
        <w:rPr>
          <w:lang w:val="fr-FR"/>
        </w:rPr>
        <w:t xml:space="preserve"> </w:t>
      </w:r>
      <w:r>
        <w:rPr>
          <w:rFonts w:hint="eastAsia"/>
          <w:lang w:val="fr-FR"/>
        </w:rPr>
        <w:t xml:space="preserve">房地产估价中比较法修正系数的确定方法研究[J].</w:t>
      </w:r>
      <w:r>
        <w:rPr>
          <w:lang w:val="fr-FR"/>
        </w:rPr>
        <w:t xml:space="preserve"> </w:t>
      </w:r>
      <w:r>
        <w:rPr>
          <w:rFonts w:hint="eastAsia"/>
          <w:lang w:val="fr-FR"/>
        </w:rPr>
        <w:t xml:space="preserve">中国房地产估价与经纪,</w:t>
      </w:r>
      <w:r>
        <w:rPr>
          <w:lang w:val="fr-FR"/>
        </w:rPr>
        <w:t xml:space="preserve"> 2024(3): 45-52.</w:t>
      </w:r>
      <w:bookmarkEnd w:id="16"/>
    </w:p>
    <w:sectPr>
      <w:headerReference w:type="default" r:id="rIdDfHeader1"/>
      <w:footerReference r:id="rIdDfFooter1" w:type="default"/>
      <w:footerReference w:type="first" r:id="rIdDfFooter1"/>
      <w:footnotePr>
        <w:numRestart w:val="eachSect"/>
      </w:footnotePr>
      <w:pgSz w:h="16838" w:w="11906"/>
      <w:pgMar w:bottom="1417" w:footer="709" w:gutter="0" w:header="851" w:left="1417" w:right="1417" w:top="1417"/>
      <w:cols w:space="425"/>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font>
  <w:font w:name="游明朝">
    <w:altName w:val="Yu Mincho"/>
    <w:panose1 w:val="02020400000000000000"/>
    <w:charset w:val="80"/>
    <w:family w:val="roman"/>
    <w:pitch w:val="variable"/>
  </w:font>
  <w:font w:name="游ゴシック">
    <w:altName w:val="Yu Gothic"/>
    <w:panose1 w:val="020B0400000000000000"/>
    <w:charset w:val="80"/>
    <w:family w:val="swiss"/>
    <w:pitch w:val="variable"/>
  </w:font>
  <w:font w:name="黑体">
    <w:altName w:val="SimHei"/>
    <w:panose1 w:val="02010609060101010101"/>
    <w:charset w:val="86"/>
    <w:family w:val="modern"/>
    <w:pitch w:val="variable"/>
  </w:font>
  <w:font w:name="楷体">
    <w:altName w:val="KaiTi"/>
    <w:panose1 w:val="02010609060101010101"/>
    <w:charset w:val="86"/>
    <w:family w:val="modern"/>
    <w:pitch w:val="fixed"/>
  </w:font>
  <w:font w:name="仿宋">
    <w:altName w:val="FangSong"/>
    <w:panose1 w:val="02010609060101010101"/>
    <w:charset w:val="86"/>
    <w:family w:val="modern"/>
    <w:pitch w:val="fixed"/>
  </w:font>
  <w:font w:name="微软雅黑">
    <w:altName w:val="Microsoft YaHei"/>
    <w:panose1 w:val="020B0503020204020204"/>
    <w:charset w:val="86"/>
    <w:family w:val="swiss"/>
    <w:pitch w:val="variable"/>
  </w:font>
  <w:font w:name="Consolas">
    <w:altName w:val="Menlo"/>
    <w:panose1 w:val="020B0609020204030204"/>
    <w:charset w:val="00"/>
    <w:family w:val="modern"/>
    <w:pitch w:val="fixed"/>
  </w:font>
  <w:font w:name="Arial">
    <w:altName w:val="Helvetica"/>
    <w:panose1 w:val="020B0604020202020204"/>
    <w:charset w:val="00"/>
    <w:family w:val="swiss"/>
    <w:pitch w:val="variable"/>
  </w:font>
</w:fonts>
</file>

<file path=word/footer1.xml><?xml version="1.0" encoding="utf-8"?>
<w:ftr xmlns:w="http://schemas.openxmlformats.org/wordprocessingml/2006/main" xmlns:r="http://schemas.openxmlformats.org/officeDocument/2006/relationships">
  <w:p>
    <w:pPr>
      <w:jc w:val="center"/>
    </w:pPr>
    <w:r>
      <w:rPr>
        <w:color w:val="6B7280"/>
        <w:sz w:val="18"/>
      </w:rPr>
      <w:fldChar w:fldCharType="begin"/>
    </w:r>
    <w:r>
      <w:rPr>
        <w:color w:val="6B7280"/>
        <w:sz w:val="18"/>
      </w:rPr>
      <w:instrText xml:space="preserve"> PAGE </w:instrText>
    </w:r>
    <w:r>
      <w:rPr>
        <w:color w:val="6B7280"/>
        <w:sz w:val="18"/>
      </w:rPr>
      <w:fldChar w:fldCharType="separate"/>
    </w:r>
    <w:r>
      <w:rPr>
        <w:color w:val="6B7280"/>
        <w:sz w:val="18"/>
      </w:rPr>
      <w:t>1</w:t>
    </w:r>
    <w:r>
      <w:rPr>
        <w:color w:val="6B7280"/>
        <w:sz w:val="18"/>
      </w:rPr>
      <w:fldChar w:fldCharType="end"/>
    </w:r>
    <w:r>
      <w:rPr>
        <w:color w:val="6B7280"/>
        <w:sz w:val="18"/>
      </w:rPr>
      <w:t xml:space="preserve"> / </w:t>
    </w:r>
    <w:r>
      <w:rPr>
        <w:color w:val="6B7280"/>
        <w:sz w:val="18"/>
      </w:rPr>
      <w:fldChar w:fldCharType="begin"/>
    </w:r>
    <w:r>
      <w:rPr>
        <w:color w:val="6B7280"/>
        <w:sz w:val="18"/>
      </w:rPr>
      <w:instrText xml:space="preserve"> NUMPAGES </w:instrText>
    </w:r>
    <w:r>
      <w:rPr>
        <w:color w:val="6B7280"/>
        <w:sz w:val="18"/>
      </w:rPr>
      <w:fldChar w:fldCharType="separate"/>
    </w:r>
    <w:r>
      <w:rPr>
        <w:color w:val="6B7280"/>
        <w:sz w:val="18"/>
      </w:rPr>
      <w:t>1</w:t>
    </w:r>
    <w:r>
      <w:rPr>
        <w:color w:val="6B7280"/>
        <w:sz w:val="18"/>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Bdr>
        <w:bottom w:val="single" w:sz="4" w:space="4" w:color="1A1A1A"/>
      </w:pBdr>
      <w:tabs>
        <w:tab w:val="right" w:pos="9071"/>
      </w:tabs>
      <w:spacing w:after="0"/>
      <w:jc w:val="left"/>
    </w:pPr>
    <w:r>
      <w:rPr>
        <w:color w:val="6B7280"/>
        <w:sz w:val="18"/>
        <w:szCs w:val="18"/>
      </w:rPr>
      <w:t xml:space="preserve">Variation spatiale des prix du logement et ses déterminants</w:t>
    </w:r>
    <w:r>
      <w:rPr>
        <w:color w:val="6B7280"/>
        <w:sz w:val="18"/>
        <w:szCs w:val="18"/>
      </w:rPr>
      <w:tab/>
    </w:r>
    <w:r>
      <w:rPr>
        <w:color w:val="6B7280"/>
        <w:sz w:val="18"/>
        <w:szCs w:val="18"/>
      </w:rPr>
      <w:fldChar w:fldCharType="begin"/>
    </w:r>
    <w:r>
      <w:rPr>
        <w:color w:val="6B7280"/>
        <w:sz w:val="18"/>
        <w:szCs w:val="18"/>
      </w:rPr>
      <w:instrText xml:space="preserve"> STYLEREF "heading 1" \* MERGEFORMAT </w:instrText>
    </w:r>
    <w:r>
      <w:rPr>
        <w:color w:val="6B7280"/>
        <w:sz w:val="18"/>
        <w:szCs w:val="18"/>
      </w:rPr>
      <w:fldChar w:fldCharType="separate"/>
    </w:r>
    <w:r>
      <w:rPr>
        <w:color w:val="6B7280"/>
        <w:sz w:val="18"/>
        <w:szCs w:val="18"/>
      </w:rPr>
      <w:t/>
    </w:r>
    <w:r>
      <w:rPr>
        <w:color w:val="6B7280"/>
        <w:sz w:val="18"/>
        <w:szCs w:val="18"/>
      </w:rPr>
      <w:fldChar w:fldCharType="end"/>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doNotExpandShiftReturn/>
  </w:compat>
  <w:rsids>
  </w:rsids>
  <w:themeFontLang w:eastAsia="zh-CN" w:val="fr-FR"/>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cs="Times New Roman" w:eastAsia="宋体" w:hAnsi="Times New Roman" w:hint="eastAsia"/>
        <w:sz w:val="24"/>
        <w:szCs w:val="24"/>
        <w:lang w:bidi="ar-SA" w:eastAsia="zh-CN" w:val="fr-FR"/>
      </w:rPr>
    </w:rPrDefault>
    <w:pPrDefault>
      <w:pPr>
        <w:spacing w:after="200"/>
      </w:pPr>
    </w:pPrDefault>
  </w:docDefaults>
  <w:latentStyles w:count="276" w:defLockedState="0" w:defQFormat="0" w:defSemiHidden="0" w:defUIPriority="0" w:defUnhideWhenUsed="0"/>
  <w:style w:default="1" w:styleId="Normal" w:type="paragraph">
    <w:name w:val="Normal"/>
    <w:qFormat/>
    <w:pPr>
      <w:widowControl/>
      <w:spacing w:after="0" w:line="435" w:lineRule="atLeast"/>
      <w:jc w:val="both"/>
    </w:pPr>
    <w:rPr>
      <w:rFonts w:ascii="Times New Roman" w:cs="Times New Roman" w:eastAsia="宋体" w:hAnsi="Times New Roman" w:hint="eastAsia"/>
      <w:color w:val="222222"/>
      <w:kern w:val="0"/>
      <w:sz w:val="24"/>
      <w:szCs w:val="24"/>
      <w:lang w:eastAsia="zh-CN" w:val="fr-FR"/>
    </w:rPr>
  </w:style>
  <w:style w:styleId="BodyText" w:type="paragraph">
    <w:name w:val="Body Text"/>
    <w:basedOn w:val="Normal"/>
    <w:next w:val="BodyText"/>
    <w:link w:val="BodyTextChar"/>
    <w:qFormat/>
    <w:pPr>
      <w:spacing w:after="120" w:before="60"/>
      <w:ind w:firstLine="420" w:firstLineChars="200"/>
    </w:pPr>
  </w:style>
  <w:style w:styleId="FirstParagraph" w:type="paragraph">
    <w:name w:val="First Paragraph"/>
    <w:basedOn w:val="BodyText"/>
    <w:next w:val="BodyText"/>
    <w:qFormat/>
  </w:style>
  <w:style w:styleId="Compact" w:type="paragraph">
    <w:name w:val="Compact"/>
    <w:basedOn w:val="BodyText"/>
    <w:qFormat/>
    <w:pPr>
      <w:spacing w:after="20" w:before="20" w:line="300" w:lineRule="auto"/>
      <w:ind w:firstLine="0" w:firstLineChars="0"/>
      <w:jc w:val="left"/>
    </w:pPr>
  </w:style>
  <w:style w:styleId="Title" w:type="paragraph">
    <w:name w:val="Title"/>
    <w:basedOn w:val="Normal"/>
    <w:next w:val="BodyText"/>
    <w:qFormat/>
    <w:pPr>
      <w:spacing w:after="120" w:before="240" w:line="240" w:lineRule="auto"/>
      <w:jc w:val="center"/>
    </w:pPr>
    <w:rPr>
      <w:rFonts w:ascii="Arial" w:cs="Arial" w:eastAsia="黑体" w:hAnsi="Arial" w:hint="eastAsia"/>
      <w:b/>
      <w:bCs/>
      <w:color w:val="000000"/>
      <w:sz w:val="44"/>
      <w:szCs w:val="44"/>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Normal"/>
    <w:next w:val="BodyText"/>
    <w:qFormat/>
    <w:pPr>
      <w:spacing w:after="160" w:before="0"/>
      <w:jc w:val="center"/>
    </w:pPr>
    <w:rPr>
      <w:rFonts w:ascii="Arial" w:cs="Arial" w:eastAsia="黑体" w:hAnsi="Arial" w:hint="eastAsia"/>
      <w:color w:val="6B7280"/>
      <w:sz w:val="30"/>
      <w:szCs w:val="3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styleId="Author" w:type="paragraph">
    <w:name w:val="Author"/>
    <w:basedOn w:val="Normal"/>
    <w:next w:val="BodyText"/>
    <w:qFormat/>
    <w:pPr>
      <w:spacing w:after="40"/>
      <w:jc w:val="center"/>
    </w:pPr>
    <w:rPr>
      <w:color w:val="6B7280"/>
    </w:rPr>
  </w:style>
  <w:style w:styleId="Date" w:type="paragraph">
    <w:name w:val="Date"/>
    <w:basedOn w:val="Normal"/>
    <w:next w:val="BodyText"/>
    <w:qFormat/>
    <w:pPr>
      <w:pBdr>
        <w:bottom w:color="000000" w:space="8" w:sz="8" w:val="single"/>
      </w:pBdr>
      <w:spacing w:after="240"/>
      <w:jc w:val="center"/>
    </w:pPr>
    <w:rPr>
      <w:color w:val="6B7280"/>
      <w:sz w:val="22"/>
    </w:rPr>
  </w:style>
  <w:style w:styleId="AbstractTitle" w:type="paragraph">
    <w:name w:val="Abstract Title"/>
    <w:basedOn w:val="Normal"/>
    <w:next w:val="Abstract"/>
    <w:qFormat/>
    <w:pPr>
      <w:keepNext/>
      <w:spacing w:after="60" w:before="200"/>
      <w:jc w:val="center"/>
    </w:pPr>
    <w:rPr>
      <w:rFonts w:ascii="Arial" w:cs="Arial" w:eastAsia="黑体" w:hAnsi="Arial" w:hint="eastAsia"/>
      <w:b/>
      <w:color w:val="000000"/>
    </w:rPr>
  </w:style>
  <w:style w:styleId="Abstract" w:type="paragraph">
    <w:name w:val="Abstract"/>
    <w:basedOn w:val="Normal"/>
    <w:next w:val="BodyText"/>
    <w:qFormat/>
    <w:pPr>
      <w:spacing w:after="200" w:before="60"/>
      <w:ind w:left="567" w:right="567"/>
    </w:pPr>
    <w:rPr>
      <w:color w:val="6B7280"/>
      <w:sz w:val="23"/>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60" w:before="360" w:line="300" w:lineRule="auto"/>
      <w:ind w:firstLine="0" w:firstLineChars="0"/>
      <w:jc w:val="left"/>
      <w:outlineLvl w:val="0"/>
    </w:pPr>
    <w:rPr>
      <w:rFonts w:ascii="Arial" w:cs="Arial" w:eastAsia="黑体" w:hAnsi="Arial" w:hint="eastAsia"/>
      <w:b/>
      <w:bCs/>
      <w:color w:val="000000"/>
      <w:sz w:val="32"/>
      <w:szCs w:val="32"/>
    </w:rPr>
  </w:style>
  <w:style w:styleId="Heading2" w:type="paragraph">
    <w:name w:val="heading 2"/>
    <w:basedOn w:val="Normal"/>
    <w:next w:val="BodyText"/>
    <w:link w:val="Heading2Char"/>
    <w:uiPriority w:val="9"/>
    <w:qFormat/>
    <w:pPr>
      <w:keepNext/>
      <w:keepLines/>
      <w:spacing w:after="120" w:before="280" w:line="300" w:lineRule="auto"/>
      <w:ind w:firstLine="0" w:firstLineChars="0"/>
      <w:jc w:val="left"/>
      <w:outlineLvl w:val="1"/>
    </w:pPr>
    <w:rPr>
      <w:rFonts w:ascii="Arial" w:cs="Arial" w:eastAsia="黑体" w:hAnsi="Arial" w:hint="eastAsia"/>
      <w:b/>
      <w:bCs/>
      <w:color w:val="000000"/>
      <w:sz w:val="28"/>
      <w:szCs w:val="28"/>
    </w:rPr>
  </w:style>
  <w:style w:styleId="Heading3" w:type="paragraph">
    <w:name w:val="heading 3"/>
    <w:basedOn w:val="Normal"/>
    <w:next w:val="BodyText"/>
    <w:link w:val="Heading3Char"/>
    <w:uiPriority w:val="9"/>
    <w:qFormat/>
    <w:pPr>
      <w:keepNext/>
      <w:keepLines/>
      <w:spacing w:after="100" w:before="220" w:line="300" w:lineRule="auto"/>
      <w:ind w:firstLine="0" w:firstLineChars="0"/>
      <w:jc w:val="left"/>
      <w:outlineLvl w:val="2"/>
    </w:pPr>
    <w:rPr>
      <w:rFonts w:ascii="Arial" w:cs="Arial" w:eastAsia="黑体" w:hAnsi="Arial" w:hint="eastAsia"/>
      <w:b/>
      <w:bCs/>
      <w:color w:val="000000"/>
      <w:sz w:val="26"/>
      <w:szCs w:val="26"/>
    </w:rPr>
  </w:style>
  <w:style w:styleId="Heading4" w:type="paragraph">
    <w:name w:val="heading 4"/>
    <w:basedOn w:val="Normal"/>
    <w:next w:val="BodyText"/>
    <w:link w:val="Heading4Char"/>
    <w:uiPriority w:val="9"/>
    <w:qFormat/>
    <w:pPr>
      <w:keepNext/>
      <w:keepLines/>
      <w:spacing w:after="80" w:before="180" w:line="300" w:lineRule="auto"/>
      <w:ind w:firstLine="0" w:firstLineChars="0"/>
      <w:jc w:val="left"/>
      <w:outlineLvl w:val="3"/>
    </w:pPr>
    <w:rPr>
      <w:rFonts w:ascii="Arial" w:cs="Arial" w:eastAsia="黑体" w:hAnsi="Arial" w:hint="eastAsia"/>
      <w:b/>
      <w:bCs/>
      <w:color w:val="000000"/>
      <w:sz w:val="24"/>
      <w:szCs w:val="24"/>
    </w:rPr>
  </w:style>
  <w:style w:styleId="Heading5" w:type="paragraph">
    <w:name w:val="heading 5"/>
    <w:basedOn w:val="Normal"/>
    <w:next w:val="BodyText"/>
    <w:link w:val="Heading5Char"/>
    <w:uiPriority w:val="9"/>
    <w:qFormat/>
    <w:pPr>
      <w:keepNext/>
      <w:keepLines/>
      <w:spacing w:after="60" w:before="160" w:line="300" w:lineRule="auto"/>
      <w:ind w:firstLine="0" w:firstLineChars="0"/>
      <w:jc w:val="left"/>
      <w:outlineLvl w:val="4"/>
    </w:pPr>
    <w:rPr>
      <w:rFonts w:ascii="Arial" w:cs="Arial" w:eastAsia="黑体" w:hAnsi="Arial" w:hint="eastAsia"/>
      <w:b/>
      <w:bCs/>
      <w:color w:val="222222"/>
      <w:sz w:val="24"/>
      <w:szCs w:val="24"/>
    </w:rPr>
  </w:style>
  <w:style w:styleId="Heading6" w:type="paragraph">
    <w:name w:val="heading 6"/>
    <w:basedOn w:val="Normal"/>
    <w:next w:val="BodyText"/>
    <w:link w:val="Heading6Char"/>
    <w:uiPriority w:val="9"/>
    <w:qFormat/>
    <w:pPr>
      <w:keepNext/>
      <w:keepLines/>
      <w:spacing w:after="60" w:before="160" w:line="300" w:lineRule="auto"/>
      <w:ind w:firstLine="0" w:firstLineChars="0"/>
      <w:jc w:val="left"/>
      <w:outlineLvl w:val="5"/>
    </w:pPr>
    <w:rPr>
      <w:rFonts w:ascii="Arial" w:cs="Arial" w:eastAsia="黑体" w:hAnsi="Arial" w:hint="eastAsia"/>
      <w:b/>
      <w:bCs/>
      <w:color w:val="222222"/>
      <w:sz w:val="24"/>
      <w:szCs w:val="24"/>
    </w:rPr>
  </w:style>
  <w:style w:styleId="Heading7" w:type="paragraph">
    <w:name w:val="heading 7"/>
    <w:basedOn w:val="Normal"/>
    <w:next w:val="BodyText"/>
    <w:link w:val="Heading7Char"/>
    <w:uiPriority w:val="9"/>
    <w:qFormat/>
    <w:pPr>
      <w:keepNext/>
      <w:keepLines/>
      <w:spacing w:after="60" w:before="120" w:line="300" w:lineRule="auto"/>
      <w:ind w:firstLine="0" w:firstLineChars="0"/>
      <w:jc w:val="left"/>
      <w:outlineLvl w:val="6"/>
    </w:pPr>
    <w:rPr>
      <w:rFonts w:ascii="Arial" w:cs="Arial" w:eastAsia="黑体" w:hAnsi="Arial" w:hint="eastAsia"/>
      <w:b/>
      <w:bCs/>
      <w:color w:val="222222"/>
      <w:sz w:val="24"/>
      <w:szCs w:val="24"/>
    </w:rPr>
  </w:style>
  <w:style w:styleId="Heading8" w:type="paragraph">
    <w:name w:val="heading 8"/>
    <w:basedOn w:val="Normal"/>
    <w:next w:val="BodyText"/>
    <w:link w:val="Heading8Char"/>
    <w:uiPriority w:val="9"/>
    <w:qFormat/>
    <w:pPr>
      <w:keepNext/>
      <w:keepLines/>
      <w:spacing w:after="60" w:before="120" w:line="300" w:lineRule="auto"/>
      <w:ind w:firstLine="0" w:firstLineChars="0"/>
      <w:jc w:val="left"/>
      <w:outlineLvl w:val="7"/>
    </w:pPr>
    <w:rPr>
      <w:rFonts w:ascii="Arial" w:cs="Arial" w:eastAsia="黑体" w:hAnsi="Arial" w:hint="eastAsia"/>
      <w:b/>
      <w:bCs/>
      <w:color w:val="222222"/>
      <w:sz w:val="24"/>
      <w:szCs w:val="24"/>
    </w:rPr>
  </w:style>
  <w:style w:styleId="Heading9" w:type="paragraph">
    <w:name w:val="heading 9"/>
    <w:basedOn w:val="Normal"/>
    <w:next w:val="BodyText"/>
    <w:link w:val="Heading9Char"/>
    <w:uiPriority w:val="9"/>
    <w:qFormat/>
    <w:pPr>
      <w:keepNext/>
      <w:keepLines/>
      <w:spacing w:after="60" w:before="120" w:line="300" w:lineRule="auto"/>
      <w:ind w:firstLine="0" w:firstLineChars="0"/>
      <w:jc w:val="left"/>
      <w:outlineLvl w:val="8"/>
    </w:pPr>
    <w:rPr>
      <w:rFonts w:ascii="Arial" w:cs="Arial" w:eastAsia="黑体" w:hAnsi="Arial" w:hint="eastAsia"/>
      <w:b/>
      <w:bCs/>
      <w:color w:val="222222"/>
      <w:sz w:val="24"/>
      <w:szCs w:val="24"/>
    </w:rPr>
  </w:style>
  <w:style w:customStyle="1" w:styleId="Heading1Char" w:type="character">
    <w:name w:val="Heading 1 Char"/>
    <w:rPr>
      <w:rFonts w:ascii="Arial" w:cs="Arial" w:eastAsia="黑体" w:hAnsi="Arial" w:hint="eastAsia"/>
      <w:b/>
      <w:bCs/>
      <w:color w:val="000000"/>
      <w:sz w:val="32"/>
    </w:rPr>
  </w:style>
  <w:style w:customStyle="1" w:styleId="Heading2Char" w:type="character">
    <w:name w:val="Heading 2 Char"/>
    <w:rPr>
      <w:rFonts w:ascii="Arial" w:cs="Arial" w:eastAsia="黑体" w:hAnsi="Arial" w:hint="eastAsia"/>
      <w:b/>
      <w:bCs/>
      <w:color w:val="000000"/>
      <w:sz w:val="28"/>
    </w:rPr>
  </w:style>
  <w:style w:customStyle="1" w:styleId="Heading3Char" w:type="character">
    <w:name w:val="Heading 3 Char"/>
    <w:rPr>
      <w:rFonts w:ascii="Arial" w:cs="Arial" w:eastAsia="黑体" w:hAnsi="Arial" w:hint="eastAsia"/>
      <w:b/>
      <w:bCs/>
      <w:color w:val="000000"/>
      <w:sz w:val="26"/>
    </w:rPr>
  </w:style>
  <w:style w:customStyle="1" w:styleId="Heading4Char" w:type="character">
    <w:name w:val="Heading 4 Char"/>
    <w:rPr>
      <w:rFonts w:ascii="Arial" w:cs="Arial" w:eastAsia="黑体" w:hAnsi="Arial" w:hint="eastAsia"/>
      <w:b/>
      <w:bCs/>
      <w:color w:val="000000"/>
      <w:sz w:val="24"/>
    </w:rPr>
  </w:style>
  <w:style w:customStyle="1" w:styleId="Heading5Char" w:type="character">
    <w:name w:val="Heading 5 Char"/>
    <w:rPr>
      <w:rFonts w:ascii="Arial" w:cs="Arial" w:eastAsia="黑体" w:hAnsi="Arial" w:hint="eastAsia"/>
      <w:b/>
      <w:bCs/>
      <w:color w:val="222222"/>
      <w:sz w:val="24"/>
    </w:rPr>
  </w:style>
  <w:style w:customStyle="1" w:styleId="Heading6Char" w:type="character">
    <w:name w:val="Heading 6 Char"/>
    <w:rPr>
      <w:rFonts w:ascii="Arial" w:cs="Arial" w:eastAsia="黑体" w:hAnsi="Arial" w:hint="eastAsia"/>
      <w:b/>
      <w:bCs/>
      <w:color w:val="222222"/>
      <w:sz w:val="24"/>
    </w:rPr>
  </w:style>
  <w:style w:customStyle="1" w:styleId="Heading7Char" w:type="character">
    <w:name w:val="Heading 7 Char"/>
    <w:rPr>
      <w:rFonts w:ascii="Arial" w:cs="Arial" w:eastAsia="黑体" w:hAnsi="Arial" w:hint="eastAsia"/>
      <w:b/>
      <w:bCs/>
      <w:color w:val="222222"/>
      <w:sz w:val="24"/>
    </w:rPr>
  </w:style>
  <w:style w:customStyle="1" w:styleId="Heading8Char" w:type="character">
    <w:name w:val="Heading 8 Char"/>
    <w:rPr>
      <w:rFonts w:ascii="Arial" w:cs="Arial" w:eastAsia="黑体" w:hAnsi="Arial" w:hint="eastAsia"/>
      <w:b/>
      <w:bCs/>
      <w:color w:val="222222"/>
      <w:sz w:val="24"/>
    </w:rPr>
  </w:style>
  <w:style w:customStyle="1" w:styleId="Heading9Char" w:type="character">
    <w:name w:val="Heading 9 Char"/>
    <w:rPr>
      <w:rFonts w:ascii="Arial" w:cs="Arial" w:eastAsia="黑体" w:hAnsi="Arial" w:hint="eastAsia"/>
      <w:b/>
      <w:bCs/>
      <w:color w:val="222222"/>
      <w:sz w:val="24"/>
    </w:rPr>
  </w:style>
  <w:style w:styleId="BlockText" w:type="paragraph">
    <w:name w:val="Block Text"/>
    <w:basedOn w:val="BodyText"/>
    <w:next w:val="BodyText"/>
    <w:qFormat/>
    <w:pPr>
      <w:pBdr>
        <w:left w:color="000000" w:space="8" w:sz="18" w:val="single"/>
      </w:pBdr>
      <w:shd w:color="auto" w:fill="E0E0E0" w:val="clear"/>
      <w:spacing w:after="60" w:before="60"/>
      <w:ind w:firstLine="0" w:firstLineChars="0" w:left="300" w:right="200"/>
    </w:pPr>
    <w:rPr>
      <w:color w:val="6B7280"/>
    </w:rPr>
  </w:style>
  <w:style w:styleId="FootnoteText" w:type="paragraph">
    <w:name w:val="footnote text"/>
    <w:basedOn w:val="Normal"/>
    <w:qFormat/>
    <w:pPr>
      <w:spacing w:after="40" w:line="260" w:lineRule="auto"/>
    </w:pPr>
    <w:rPr>
      <w:sz w:val="20"/>
      <w:szCs w:val="20"/>
    </w:rPr>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style>
  <w:style w:customStyle="1" w:styleId="DefinitionTerm" w:type="paragraph">
    <w:name w:val="Definition Term"/>
    <w:basedOn w:val="Normal"/>
    <w:next w:val="Definition"/>
    <w:qFormat/>
    <w:pPr>
      <w:keepNext/>
      <w:spacing w:after="0" w:before="80"/>
      <w:ind w:firstLine="0" w:firstLineChars="0"/>
    </w:pPr>
    <w:rPr>
      <w:rFonts w:ascii="Arial" w:cs="Arial" w:eastAsia="黑体" w:hAnsi="Arial" w:hint="eastAsia"/>
      <w:b/>
      <w:color w:val="000000"/>
    </w:rPr>
  </w:style>
  <w:style w:customStyle="1" w:styleId="Definition" w:type="paragraph">
    <w:name w:val="Definition"/>
    <w:basedOn w:val="Normal"/>
    <w:qFormat/>
    <w:pPr>
      <w:spacing w:after="80" w:before="0"/>
      <w:ind w:firstLine="0" w:firstLineChars="0" w:left="420"/>
    </w:pPr>
  </w:style>
  <w:style w:styleId="Caption" w:type="paragraph">
    <w:name w:val="caption"/>
    <w:basedOn w:val="Normal"/>
    <w:next w:val="BodyText"/>
    <w:qFormat/>
    <w:pPr>
      <w:spacing w:after="200" w:before="60"/>
      <w:ind w:firstLine="0" w:firstLineChars="0"/>
      <w:jc w:val="center"/>
    </w:pPr>
    <w:rPr>
      <w:color w:val="6B7280"/>
      <w:sz w:val="21"/>
      <w:szCs w:val="21"/>
    </w:rPr>
  </w:style>
  <w:style w:customStyle="1" w:styleId="TableCaption" w:type="paragraph">
    <w:name w:val="Table Caption"/>
    <w:basedOn w:val="Caption"/>
    <w:qFormat/>
    <w:pPr>
      <w:keepNext/>
      <w:spacing w:after="80" w:before="200"/>
      <w:jc w:val="center"/>
    </w:pPr>
  </w:style>
  <w:style w:customStyle="1" w:styleId="ImageCaption" w:type="paragraph">
    <w:name w:val="Image Caption"/>
    <w:basedOn w:val="Caption"/>
    <w:qFormat/>
  </w:style>
  <w:style w:customStyle="1" w:styleId="Figure" w:type="paragraph">
    <w:name w:val="Figure"/>
    <w:basedOn w:val="Normal"/>
    <w:qFormat/>
    <w:pPr>
      <w:spacing w:after="60" w:before="120" w:line="240" w:lineRule="auto"/>
      <w:ind w:firstLine="0" w:firstLineChars="0"/>
      <w:jc w:val="center"/>
    </w:pPr>
  </w:style>
  <w:style w:customStyle="1" w:styleId="CaptionedFigure" w:type="paragraph">
    <w:name w:val="Captioned Figure"/>
    <w:basedOn w:val="Figure"/>
    <w:qFormat/>
    <w:pPr>
      <w:keepNext/>
    </w:pPr>
  </w:style>
  <w:style w:customStyle="1" w:styleId="BodyTextChar" w:type="character">
    <w:name w:val="Body Text Char"/>
    <w:rPr/>
  </w:style>
  <w:style w:customStyle="1" w:styleId="VerbatimChar" w:type="character">
    <w:name w:val="Verbatim Char"/>
    <w:rPr>
      <w:rFonts w:ascii="Consolas" w:cs="Consolas" w:eastAsia="黑体" w:hAnsi="Consolas" w:hint="eastAsia"/>
      <w:sz w:val="22"/>
      <w:shd w:color="auto" w:fill="F6F8FA" w:val="clear"/>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rPr>
      <w:color w:val="333333"/>
      <w:u w:val="single"/>
    </w:rPr>
  </w:style>
  <w:style w:styleId="TOCHeading" w:type="paragraph">
    <w:name w:val="TOC Heading"/>
    <w:basedOn w:val="Heading1"/>
    <w:next w:val="BodyText"/>
    <w:qFormat/>
    <w:pPr>
      <w:pBdr/>
      <w:jc w:val="center"/>
      <w:outlineLvl w:val="9"/>
    </w:pPr>
  </w:style>
  <w:style w:customStyle="1" w:styleId="DFTableText" w:type="paragraph">
    <w:name w:val="Table Text"/>
    <w:basedOn w:val="Compact"/>
    <w:qFormat/>
    <w:pPr>
      <w:spacing w:after="20" w:before="20" w:line="408" w:lineRule="atLeast"/>
    </w:pPr>
    <w:rPr>
      <w:sz w:val="22"/>
      <w:szCs w:val="22"/>
    </w:rPr>
  </w:style>
  <w:style w:customStyle="1" w:styleId="SourceCode" w:type="paragraph">
    <w:name w:val="Source Code"/>
    <w:basedOn w:val="Normal"/>
    <w:qFormat/>
    <w:pPr>
      <w:pBdr>
        <w:top w:color="000000" w:space="4" w:sz="4" w:val="single"/>
        <w:left w:color="000000" w:space="4" w:sz="4" w:val="single"/>
        <w:bottom w:color="000000" w:space="4" w:sz="4" w:val="single"/>
        <w:right w:color="000000" w:space="4" w:sz="4" w:val="single"/>
      </w:pBdr>
      <w:shd w:color="auto" w:fill="F6F8FA" w:val="clear"/>
      <w:wordWrap w:val="0"/>
      <w:spacing w:after="120" w:before="120" w:line="260" w:lineRule="auto"/>
      <w:jc w:val="left"/>
    </w:pPr>
    <w:rPr>
      <w:rFonts w:ascii="Consolas" w:cs="Consolas" w:eastAsia="黑体" w:hAnsi="Consolas" w:hint="eastAsia"/>
      <w:sz w:val="21"/>
    </w:rPr>
  </w:style>
  <w:style w:customStyle="1" w:styleId="DFEquation" w:type="paragraph">
    <w:name w:val="DF Equation"/>
    <w:basedOn w:val="Normal"/>
    <w:qFormat/>
    <w:pPr>
      <w:keepLines/>
      <w:tabs>
        <w:tab w:pos="4535" w:val="center"/>
        <w:tab w:pos="9071" w:val="right"/>
      </w:tabs>
      <w:spacing w:after="120" w:before="120" w:line="240" w:lineRule="auto"/>
      <w:ind w:firstLine="0" w:firstLineChars="0"/>
      <w:jc w:val="left"/>
    </w:pPr>
  </w:style>
  <w:style w:styleId="TOC1" w:type="paragraph">
    <w:name w:val="toc 1"/>
    <w:basedOn w:val="Normal"/>
    <w:next w:val="BodyText"/>
    <w:qFormat/>
    <w:pPr>
      <w:spacing w:after="40" w:before="40"/>
      <w:ind w:left="0"/>
    </w:pPr>
    <w:rPr>
      <w:b/>
    </w:rPr>
  </w:style>
  <w:style w:styleId="TOC2" w:type="paragraph">
    <w:name w:val="toc 2"/>
    <w:basedOn w:val="Normal"/>
    <w:next w:val="BodyText"/>
    <w:qFormat/>
    <w:pPr>
      <w:spacing w:after="40" w:before="40"/>
      <w:ind w:left="420"/>
    </w:pPr>
  </w:style>
  <w:style w:styleId="TOC3" w:type="paragraph">
    <w:name w:val="toc 3"/>
    <w:basedOn w:val="Normal"/>
    <w:next w:val="BodyText"/>
    <w:qFormat/>
    <w:pPr>
      <w:spacing w:after="40" w:before="40"/>
      <w:ind w:left="840"/>
    </w:pPr>
  </w:style>
  <w:style w:type="character" w:customStyle="1" w:styleId="KeywordTok">
    <w:name w:val="KeywordTok"/>
    <w:basedOn w:val="VerbatimChar"/>
    <w:rPr>
      <w:b/>
      <w:color w:val="204a87"/>
      <w:shd w:val="clear" w:fill="f8f8f8"/>
    </w:rPr>
  </w:style>
  <w:style w:type="character" w:customStyle="1" w:styleId="DataTypeTok">
    <w:name w:val="DataTypeTok"/>
    <w:basedOn w:val="VerbatimChar"/>
    <w:rPr>
      <w:color w:val="204a87"/>
      <w:shd w:val="clear" w:fill="f8f8f8"/>
    </w:rPr>
  </w:style>
  <w:style w:type="character" w:customStyle="1" w:styleId="DecValTok">
    <w:name w:val="DecValTok"/>
    <w:basedOn w:val="VerbatimChar"/>
    <w:rPr>
      <w:color w:val="0000cf"/>
      <w:shd w:val="clear" w:fill="f8f8f8"/>
    </w:rPr>
  </w:style>
  <w:style w:type="character" w:customStyle="1" w:styleId="BaseNTok">
    <w:name w:val="BaseNTok"/>
    <w:basedOn w:val="VerbatimChar"/>
    <w:rPr>
      <w:color w:val="0000cf"/>
      <w:shd w:val="clear" w:fill="f8f8f8"/>
    </w:rPr>
  </w:style>
  <w:style w:type="character" w:customStyle="1" w:styleId="FloatTok">
    <w:name w:val="FloatTok"/>
    <w:basedOn w:val="VerbatimChar"/>
    <w:rPr>
      <w:color w:val="0000cf"/>
      <w:shd w:val="clear" w:fill="f8f8f8"/>
    </w:rPr>
  </w:style>
  <w:style w:type="character" w:customStyle="1" w:styleId="ConstantTok">
    <w:name w:val="ConstantTok"/>
    <w:basedOn w:val="VerbatimChar"/>
    <w:rPr>
      <w:color w:val="8f5902"/>
      <w:shd w:val="clear" w:fill="f8f8f8"/>
    </w:rPr>
  </w:style>
  <w:style w:type="character" w:customStyle="1" w:styleId="CharTok">
    <w:name w:val="CharTok"/>
    <w:basedOn w:val="VerbatimChar"/>
    <w:rPr>
      <w:color w:val="4e9a06"/>
      <w:shd w:val="clear" w:fill="f8f8f8"/>
    </w:rPr>
  </w:style>
  <w:style w:type="character" w:customStyle="1" w:styleId="SpecialCharTok">
    <w:name w:val="SpecialCharTok"/>
    <w:basedOn w:val="VerbatimChar"/>
    <w:rPr>
      <w:b/>
      <w:color w:val="ce5c00"/>
      <w:shd w:val="clear" w:fill="f8f8f8"/>
    </w:rPr>
  </w:style>
  <w:style w:type="character" w:customStyle="1" w:styleId="StringTok">
    <w:name w:val="StringTok"/>
    <w:basedOn w:val="VerbatimChar"/>
    <w:rPr>
      <w:color w:val="4e9a06"/>
      <w:shd w:val="clear" w:fill="f8f8f8"/>
    </w:rPr>
  </w:style>
  <w:style w:type="character" w:customStyle="1" w:styleId="VerbatimStringTok">
    <w:name w:val="VerbatimStringTok"/>
    <w:basedOn w:val="VerbatimChar"/>
    <w:rPr>
      <w:color w:val="4e9a06"/>
      <w:shd w:val="clear" w:fill="f8f8f8"/>
    </w:rPr>
  </w:style>
  <w:style w:type="character" w:customStyle="1" w:styleId="SpecialStringTok">
    <w:name w:val="SpecialStringTok"/>
    <w:basedOn w:val="VerbatimChar"/>
    <w:rPr>
      <w:color w:val="4e9a06"/>
      <w:shd w:val="clear" w:fill="f8f8f8"/>
    </w:rPr>
  </w:style>
  <w:style w:type="character" w:customStyle="1" w:styleId="ImportTok">
    <w:name w:val="ImportTok"/>
    <w:basedOn w:val="VerbatimChar"/>
    <w:rPr>
      <w:shd w:val="clear" w:fill="f8f8f8"/>
    </w:rPr>
  </w:style>
  <w:style w:type="character" w:customStyle="1" w:styleId="CommentTok">
    <w:name w:val="CommentTok"/>
    <w:basedOn w:val="VerbatimChar"/>
    <w:rPr>
      <w:i/>
      <w:color w:val="8f5902"/>
      <w:shd w:val="clear" w:fill="f8f8f8"/>
    </w:rPr>
  </w:style>
  <w:style w:type="character" w:customStyle="1" w:styleId="DocumentationTok">
    <w:name w:val="DocumentationTok"/>
    <w:basedOn w:val="VerbatimChar"/>
    <w:rPr>
      <w:b/>
      <w:i/>
      <w:color w:val="8f5902"/>
      <w:shd w:val="clear" w:fill="f8f8f8"/>
    </w:rPr>
  </w:style>
  <w:style w:type="character" w:customStyle="1" w:styleId="AnnotationTok">
    <w:name w:val="AnnotationTok"/>
    <w:basedOn w:val="VerbatimChar"/>
    <w:rPr>
      <w:b/>
      <w:i/>
      <w:color w:val="8f5902"/>
      <w:shd w:val="clear" w:fill="f8f8f8"/>
    </w:rPr>
  </w:style>
  <w:style w:type="character" w:customStyle="1" w:styleId="CommentVarTok">
    <w:name w:val="CommentVarTok"/>
    <w:basedOn w:val="VerbatimChar"/>
    <w:rPr>
      <w:b/>
      <w:i/>
      <w:color w:val="8f5902"/>
      <w:shd w:val="clear" w:fill="f8f8f8"/>
    </w:rPr>
  </w:style>
  <w:style w:type="character" w:customStyle="1" w:styleId="OtherTok">
    <w:name w:val="OtherTok"/>
    <w:basedOn w:val="VerbatimChar"/>
    <w:rPr>
      <w:color w:val="8f5902"/>
      <w:shd w:val="clear" w:fill="f8f8f8"/>
    </w:rPr>
  </w:style>
  <w:style w:type="character" w:customStyle="1" w:styleId="FunctionTok">
    <w:name w:val="FunctionTok"/>
    <w:basedOn w:val="VerbatimChar"/>
    <w:rPr>
      <w:b/>
      <w:color w:val="204a87"/>
      <w:shd w:val="clear" w:fill="f8f8f8"/>
    </w:rPr>
  </w:style>
  <w:style w:type="character" w:customStyle="1" w:styleId="VariableTok">
    <w:name w:val="VariableTok"/>
    <w:basedOn w:val="VerbatimChar"/>
    <w:rPr>
      <w:color w:val="000000"/>
      <w:shd w:val="clear" w:fill="f8f8f8"/>
    </w:rPr>
  </w:style>
  <w:style w:type="character" w:customStyle="1" w:styleId="ControlFlowTok">
    <w:name w:val="ControlFlowTok"/>
    <w:basedOn w:val="VerbatimChar"/>
    <w:rPr>
      <w:b/>
      <w:color w:val="204a87"/>
      <w:shd w:val="clear" w:fill="f8f8f8"/>
    </w:rPr>
  </w:style>
  <w:style w:type="character" w:customStyle="1" w:styleId="OperatorTok">
    <w:name w:val="OperatorTok"/>
    <w:basedOn w:val="VerbatimChar"/>
    <w:rPr>
      <w:b/>
      <w:color w:val="ce5c00"/>
      <w:shd w:val="clear" w:fill="f8f8f8"/>
    </w:rPr>
  </w:style>
  <w:style w:type="character" w:customStyle="1" w:styleId="BuiltInTok">
    <w:name w:val="BuiltInTok"/>
    <w:basedOn w:val="VerbatimChar"/>
    <w:rPr>
      <w:shd w:val="clear" w:fill="f8f8f8"/>
    </w:rPr>
  </w:style>
  <w:style w:type="character" w:customStyle="1" w:styleId="ExtensionTok">
    <w:name w:val="ExtensionTok"/>
    <w:basedOn w:val="VerbatimChar"/>
    <w:rPr>
      <w:shd w:val="clear" w:fill="f8f8f8"/>
    </w:rPr>
  </w:style>
  <w:style w:type="character" w:customStyle="1" w:styleId="PreprocessorTok">
    <w:name w:val="PreprocessorTok"/>
    <w:basedOn w:val="VerbatimChar"/>
    <w:rPr>
      <w:i/>
      <w:color w:val="8f5902"/>
      <w:shd w:val="clear" w:fill="f8f8f8"/>
    </w:rPr>
  </w:style>
  <w:style w:type="character" w:customStyle="1" w:styleId="AttributeTok">
    <w:name w:val="AttributeTok"/>
    <w:basedOn w:val="VerbatimChar"/>
    <w:rPr>
      <w:color w:val="204a87"/>
      <w:shd w:val="clear" w:fill="f8f8f8"/>
    </w:rPr>
  </w:style>
  <w:style w:type="character" w:customStyle="1" w:styleId="RegionMarkerTok">
    <w:name w:val="RegionMarkerTok"/>
    <w:basedOn w:val="VerbatimChar"/>
    <w:rPr>
      <w:shd w:val="clear" w:fill="f8f8f8"/>
    </w:rPr>
  </w:style>
  <w:style w:type="character" w:customStyle="1" w:styleId="InformationTok">
    <w:name w:val="InformationTok"/>
    <w:basedOn w:val="VerbatimChar"/>
    <w:rPr>
      <w:b/>
      <w:i/>
      <w:color w:val="8f5902"/>
      <w:shd w:val="clear" w:fill="f8f8f8"/>
    </w:rPr>
  </w:style>
  <w:style w:type="character" w:customStyle="1" w:styleId="WarningTok">
    <w:name w:val="WarningTok"/>
    <w:basedOn w:val="VerbatimChar"/>
    <w:rPr>
      <w:b/>
      <w:i/>
      <w:color w:val="8f5902"/>
      <w:shd w:val="clear" w:fill="f8f8f8"/>
    </w:rPr>
  </w:style>
  <w:style w:type="character" w:customStyle="1" w:styleId="AlertTok">
    <w:name w:val="AlertTok"/>
    <w:basedOn w:val="VerbatimChar"/>
    <w:rPr>
      <w:color w:val="ef2929"/>
      <w:shd w:val="clear" w:fill="f8f8f8"/>
    </w:rPr>
  </w:style>
  <w:style w:type="character" w:customStyle="1" w:styleId="ErrorTok">
    <w:name w:val="ErrorTok"/>
    <w:basedOn w:val="VerbatimChar"/>
    <w:rPr>
      <w:b/>
      <w:color w:val="a40000"/>
      <w:shd w:val="clear" w:fill="f8f8f8"/>
    </w:rPr>
  </w:style>
  <w:style w:type="character" w:customStyle="1" w:styleId="NormalTok">
    <w:name w:val="NormalTok"/>
    <w:basedOn w:val="VerbatimChar"/>
    <w:rPr>
      <w:shd w:val="clear" w:fill="f8f8f8"/>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DfFooter1" Target="footer1.xml" Type="http://schemas.openxmlformats.org/officeDocument/2006/relationships/footer" /><Relationship Type="http://schemas.openxmlformats.org/officeDocument/2006/relationships/header" Id="rIdDfHeader1" Target="header1.xml"/></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Times New Roman" panose="02110004020202020204"/>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Variation spatiale des prix du logement et ses déterminants</dc:title>
  <dc:creator>Ming Wang, Hua Li</dc:creator>
  <dc:language>fr-FR</dc:language>
  <cp:keywords/>
  <dcterms:created xsi:type="dcterms:W3CDTF">2026-10-27T10:30:52Z</dcterms:created>
  <dcterms:modified xsi:type="dcterms:W3CDTF">2026-10-27T10:30:52Z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À partir des transactions de 36 villes entre 2020 et 2025, nous estimons un modèle de prix hédoniques intégrant la localisation, les équipements et l’âge du bâti. Une hausse d’un écart type de l’accessibilité en transport ferré augmente le prix unitaire d’environ 6,8 %.</vt:lpwstr>
  </property>
  <property fmtid="{D5CDD505-2E9C-101B-9397-08002B2CF9AE}" pid="3" name="abstract-title">
    <vt:lpwstr>Résumé</vt:lpwstr>
  </property>
  <property fmtid="{D5CDD505-2E9C-101B-9397-08002B2CF9AE}" pid="4" name="bibliography">
    <vt:lpwstr/>
  </property>
  <property fmtid="{D5CDD505-2E9C-101B-9397-08002B2CF9AE}" pid="5" name="csl">
    <vt:lpwstr>/Users/arthur/business-os/md-to-pdf-word/src/docforge/assets/csl/gb-t-7714-2015-numeric.csl</vt:lpwstr>
  </property>
  <property fmtid="{D5CDD505-2E9C-101B-9397-08002B2CF9AE}" pid="6" name="date">
    <vt:lpwstr>Septembre 2026</vt:lpwstr>
  </property>
  <property fmtid="{D5CDD505-2E9C-101B-9397-08002B2CF9AE}" pid="7" name="link-citations">
    <vt:lpwstr>True</vt:lpwstr>
  </property>
</Properties>
</file>