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pl1_header1.xml" ContentType="application/vnd.openxmlformats-officedocument.wordprocessingml.header+xml"/>
  <Override PartName="/word/tpl3_footer1.xml" ContentType="application/vnd.openxmlformats-officedocument.wordprocessingml.footer+xml"/>
  <Default Extension="png" ContentType="image/png"/>
  <Override PartName="/word/tpl_cover_header.xml" ContentType="application/vnd.openxmlformats-officedocument.wordprocessingml.header+xml"/>
  <Override PartName="/word/tpl_cover_foote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jc w:val="left"/>
      </w:pPr>
      <w:r>
        <w:drawing>
          <wp:inline>
            <wp:extent cx="1843200" cy="576000"/>
            <wp:docPr id="4000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002" name="es-template.png"/>
                    <pic:cNvPicPr/>
                  </pic:nvPicPr>
                  <pic:blipFill>
                    <a:blip r:embed="rIdTpl3"/>
                    <a:stretch>
                      <a:fillRect/>
                    </a:stretch>
                  </pic:blipFill>
                  <pic:spPr>
                    <a:xfrm>
                      <a:off x="0" y="0"/>
                      <a:ext cx="18432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/>
    <w:p/>
    <w:p/>
    <w:p/>
    <w:p>
      <w:r>
        <w:rPr>
          <w:b/>
          <w:color w:val="1F3A5F"/>
          <w:sz w:val="52"/>
        </w:rPr>
        <w:t xml:space="preserve">Estudio de viabilidad del campus Northwind</w:t>
      </w:r>
    </w:p>
    <w:p>
      <w:pPr>
        <w:pBdr>
          <w:bottom w:val="single" w:sz="12" w:space="1" w:color="1F3A5F"/>
        </w:pBdr>
      </w:pPr>
      <w:r>
        <w:rPr>
          <w:sz w:val="30"/>
        </w:rPr>
        <w:t xml:space="preserve">Borrador para revisión</w:t>
      </w:r>
    </w:p>
    <w:p/>
    <w:p/>
    <w:p/>
    <w:p/>
    <w:p/>
    <w:p/>
    <w:p/>
    <w:p/>
    <w:tbl>
      <w:tblPr>
        <w:tblW w:type="auto" w:w="0"/>
        <w:tblLook w:firstColumn="1" w:firstRow="1" w:lastColumn="0" w:lastRow="0" w:noHBand="0" w:noVBand="1" w:val="04A0"/>
      </w:tblPr>
      <w:tblGrid>
        <w:gridCol w:w="4451"/>
        <w:gridCol w:w="4451"/>
      </w:tblGrid>
      <w:tr>
        <w:tc>
          <w:tcPr>
            <w:tcW w:type="dxa" w:w="4451"/>
          </w:tcPr>
          <w:p>
            <w:r>
              <w:rPr>
                <w:b/>
              </w:rPr>
              <w:t>Cliente</w:t>
            </w:r>
          </w:p>
        </w:tc>
        <w:tc>
          <w:tcPr>
            <w:tcW w:type="dxa" w:w="4451"/>
          </w:tcPr>
          <w:p>
            <w:r>
              <w:t xml:space="preserve">Agencia de Renovación Urbana</w:t>
            </w:r>
          </w:p>
        </w:tc>
      </w:tr>
      <w:tr>
        <w:tc>
          <w:tcPr>
            <w:tcW w:type="dxa" w:w="4451"/>
          </w:tcPr>
          <w:p>
            <w:r>
              <w:rPr>
                <w:b/>
              </w:rPr>
              <w:t>Informe n.º</w:t>
            </w:r>
          </w:p>
        </w:tc>
        <w:tc>
          <w:tcPr>
            <w:tcW w:type="dxa" w:w="4451"/>
          </w:tcPr>
          <w:p>
            <w:r>
              <w:t xml:space="preserve">NW-2026-018</w:t>
            </w:r>
          </w:p>
        </w:tc>
      </w:tr>
      <w:tr>
        <w:tc>
          <w:tcPr>
            <w:tcW w:type="dxa" w:w="4451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4451"/>
          </w:tcPr>
          <w:p>
            <w:r>
              <w:t xml:space="preserve">20 de octubre de 2026</w:t>
            </w:r>
          </w:p>
        </w:tc>
      </w:tr>
    </w:tbl>
    <w:p>
      <w:pPr>
        <w:sectPr>
          <w:headerReference w:type="default" r:id="rIdTplEmptyH"/>
          <w:headerReference w:type="first" r:id="rIdTplEmptyH"/>
          <w:headerReference w:type="even" r:id="rIdTplEmptyH"/>
          <w:footerReference w:type="default" r:id="rIdTplEmptyF"/>
          <w:footerReference w:type="first" r:id="rIdTplEmptyF"/>
          <w:footerReference w:type="even" r:id="rIdTplEmptyF"/>
          <w:footnotePr>
            <w:numRestart w:val="eachSect"/>
          </w:footnotePr>
          <w:pgSz w:h="16838" w:w="11906"/>
          <w:pgMar w:bottom="1417" w:footer="720" w:gutter="0" w:header="720" w:left="1587" w:right="1417" w:top="1417"/>
          <w:cols w:space="425"/>
          <w:docGrid w:linePitch="360"/>
        </w:sectPr>
      </w:pPr>
      <w:r/>
    </w:p>
    <w:p>
      <w:pPr>
        <w:pStyle w:val="Heading1"/>
      </w:pPr>
      <w:bookmarkStart w:id="9" w:name="descripci_n_del_proyecto"/>
      <w:r>
        <w:rPr>
          <w:lang w:val="es-ES"/>
        </w:rPr>
        <w:t xml:space="preserve">Descripción del proyecto</w:t>
      </w:r>
      <w:bookmarkEnd w:id="9"/>
    </w:p>
    <w:p>
      <w:pPr>
        <w:pStyle w:val="FirstParagraph"/>
      </w:pPr>
      <w:r>
        <w:rPr>
          <w:lang w:val="es-ES"/>
        </w:rPr>
        <w:t xml:space="preserve">El campus Northwind ocupa 38,6 hectáreas al este de la zona tecnológica, con 520.000 m² de superficie construida para oficinas de I+D, plantas piloto, viviendas y servicios. La obra dura 36 meses.</w:t>
      </w:r>
    </w:p>
    <w:p>
      <w:pPr>
        <w:pStyle w:val="Heading1"/>
      </w:pPr>
      <w:bookmarkStart w:id="11" w:name="por_qu__construirlo"/>
      <w:r>
        <w:rPr>
          <w:lang w:val="es-ES"/>
        </w:rPr>
        <w:t xml:space="preserve">Por qué construirlo</w:t>
      </w:r>
      <w:bookmarkEnd w:id="11"/>
    </w:p>
    <w:p>
      <w:pPr>
        <w:pStyle w:val="FirstParagraph"/>
      </w:pPr>
      <w:r>
        <w:rPr>
          <w:lang w:val="es-ES"/>
        </w:rPr>
        <w:t xml:space="preserve">Se prevé que el campus cree unos 12.000 empleos y 1.100 millones de euros de producción anual, reforzando la cadena de innovación de la región.</w:t>
      </w:r>
    </w:p>
    <w:p>
      <w:pPr>
        <w:pStyle w:val="TableCaption"/>
      </w:pPr>
      <w:bookmarkStart w:id="10" w:name="table1"/>
      <w:r>
        <w:rPr>
          <w:lang w:val="es-ES"/>
        </w:rPr>
        <w:t xml:space="preserve">Tabla </w:t>
      </w:r>
      <w:fldSimple w:instr="SEQ Table \* ARABIC ">
        <w:r>
          <w:t>1</w:t>
        </w:r>
      </w:fldSimple>
      <w:bookmarkEnd w:id="10"/>
      <w:r>
        <w:rPr>
          <w:lang w:val="es-ES"/>
        </w:rPr>
        <w:t xml:space="preserve">. Principales indicadores económicos</w:t>
      </w:r>
    </w:p>
    <w:tbl>
      <w:tblPr>
        <w:tblStyle w:val="Table"/>
        <w:tblW w:type="dxa" w:w="3751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Principales indicadores económicos"/>
      </w:tblPr>
      <w:tblGrid>
        <w:gridCol w:w="2501"/>
        <w:gridCol w:w="1250"/>
      </w:tblGrid>
      <w:tr>
        <w:trPr>
          <w:cantSplit/>
          <w:tblHeader w:val="on"/>
        </w:trPr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s-ES"/>
              </w:rPr>
              <w:t xml:space="preserve">Indicador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s-ES"/>
              </w:rPr>
              <w:t xml:space="preserve">Valor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s-ES"/>
              </w:rPr>
              <w:t xml:space="preserve">Inversión total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s-ES"/>
              </w:rPr>
              <w:t xml:space="preserve">550 M€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es-ES"/>
              </w:rPr>
              <w:t xml:space="preserve">TIR financiera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es-ES"/>
              </w:rPr>
              <w:t xml:space="preserve">9,6 %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s-ES"/>
              </w:rPr>
              <w:t xml:space="preserve">Plazo de recuperación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s-ES"/>
              </w:rPr>
              <w:t xml:space="preserve">11,2 años</w:t>
            </w:r>
          </w:p>
        </w:tc>
      </w:tr>
    </w:tbl>
    <w:sectPr>
      <w:headerReference w:type="default" r:id="rIdTpl2"/>
      <w:footerReference w:type="default" r:id="rIdTpl4"/>
      <w:footnotePr>
        <w:numRestart w:val="eachSect"/>
      </w:footnotePr>
      <w:pgSz w:h="16838" w:w="11906"/>
      <w:pgMar w:bottom="1417" w:footer="720" w:gutter="0" w:header="720" w:left="1587" w:right="1417" w:top="1417"/>
      <w:pgNumType w:start="1"/>
      <w:cols w:space="425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000000"/>
        <w:sz w:val="18"/>
        <w:szCs w:val="18"/>
      </w:rPr>
      <w:t xml:space="preserve">Página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 PAGE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de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 NUMPAGES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CED6DF"/>
      </w:pBdr>
      <w:tabs>
        <w:tab w:val="right" w:pos="8901"/>
      </w:tabs>
      <w:spacing w:after="0"/>
      <w:jc w:val="left"/>
    </w:pPr>
    <w:r>
      <w:rPr>
        <w:color w:val="000000"/>
        <w:sz w:val="18"/>
        <w:szCs w:val="18"/>
      </w:rPr>
      <w:t xml:space="preserve">Northwind Consultores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 xml:space="preserve">Estudio de viabilidad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s-E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2"/>
        <w:szCs w:val="22"/>
        <w:lang w:bidi="ar-SA" w:eastAsia="zh-CN" w:val="es-E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394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2"/>
      <w:szCs w:val="22"/>
      <w:lang w:eastAsia="zh-CN" w:val="es-E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pBdr>
        <w:bottom w:val="single" w:sz="8" w:space="4" w:color="4F81BD" w:themeColor="accent1"/>
      </w:pBdr>
      <w:spacing w:before="0" w:after="300" w:line="240" w:lineRule="auto"/>
      <w:ind w:left="0" w:right="0" w:firstLine="0"/>
      <w:contextualSpacing/>
      <w:jc w:val="left"/>
    </w:pPr>
    <w:rPr>
      <w:rFonts w:cstheme="majorBidi" w:ascii="Calibri" w:hAnsi="Calibri" w:eastAsia="宋体"/>
      <w:b w:val="0"/>
      <w:bCs w:val="0"/>
      <w:i w:val="0"/>
      <w:iCs w:val="0"/>
      <w:color w:val="17365D"/>
      <w:spacing w:val="5"/>
      <w:kern w:val="28"/>
      <w:sz w:val="52"/>
      <w:szCs w:val="52"/>
      <w:lang w:val="en-US" w:eastAsia="en-US" w:bidi="ar-SA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before="0" w:after="200" w:line="276" w:lineRule="auto"/>
      <w:ind w:left="0" w:right="0" w:firstLine="0"/>
      <w:jc w:val="left"/>
    </w:pPr>
    <w:rPr>
      <w:rFonts w:cstheme="majorBidi" w:ascii="Calibri" w:hAnsi="Calibri" w:eastAsia="宋体"/>
      <w:b w:val="0"/>
      <w:bCs w:val="0"/>
      <w:i/>
      <w:iCs/>
      <w:color w:val="4F81BD"/>
      <w:spacing w:val="15"/>
      <w:sz w:val="24"/>
      <w:szCs w:val="24"/>
      <w:lang w:val="en-US" w:eastAsia="en-US" w:bidi="ar-SA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1F4E79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Times New Roman" w:cs="Times New Roman" w:eastAsia="宋体" w:hAnsi="Times New Roman" w:hint="eastAsia"/>
      <w:b/>
      <w:color w:val="1F4E79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before="480" w:after="0" w:line="276" w:lineRule="auto"/>
      <w:ind w:left="0" w:right="0" w:firstLine="0"/>
      <w:jc w:val="left"/>
      <w:outlineLvl w:val="0"/>
    </w:pPr>
    <w:rPr>
      <w:rFonts w:cstheme="majorBidi" w:ascii="Calibri" w:hAnsi="Calibri" w:eastAsia="宋体"/>
      <w:b/>
      <w:bCs/>
      <w:i w:val="0"/>
      <w:iCs w:val="0"/>
      <w:color w:val="1F3A5F"/>
      <w:sz w:val="30"/>
      <w:szCs w:val="28"/>
      <w:lang w:val="en-US" w:eastAsia="en-US" w:bidi="ar-SA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1"/>
    </w:pPr>
    <w:rPr>
      <w:rFonts w:cstheme="majorBidi" w:ascii="Calibri" w:hAnsi="Calibri" w:eastAsia="宋体"/>
      <w:b/>
      <w:bCs/>
      <w:i w:val="0"/>
      <w:iCs w:val="0"/>
      <w:color w:val="1F3A5F"/>
      <w:sz w:val="26"/>
      <w:szCs w:val="26"/>
      <w:lang w:val="en-US" w:eastAsia="en-US" w:bidi="ar-SA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2"/>
    </w:pPr>
    <w:rPr>
      <w:rFonts w:cstheme="majorBidi" w:ascii="Calibri" w:hAnsi="Calibri" w:eastAsia="宋体"/>
      <w:b/>
      <w:bCs/>
      <w:i w:val="0"/>
      <w:iCs w:val="0"/>
      <w:color w:val="4F81BD"/>
      <w:sz w:val="22"/>
      <w:szCs w:val="22"/>
      <w:lang w:val="en-US" w:eastAsia="en-US" w:bidi="ar-SA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3"/>
    </w:pPr>
    <w:rPr>
      <w:rFonts w:cstheme="majorBidi" w:ascii="Calibri" w:hAnsi="Calibri" w:eastAsia="宋体"/>
      <w:b/>
      <w:bCs/>
      <w:i/>
      <w:iCs/>
      <w:color w:val="4F81BD"/>
      <w:sz w:val="22"/>
      <w:szCs w:val="22"/>
      <w:lang w:val="en-US" w:eastAsia="en-US" w:bidi="ar-SA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4"/>
    </w:pPr>
    <w:rPr>
      <w:rFonts w:cstheme="majorBidi" w:ascii="Calibri" w:hAnsi="Calibri" w:eastAsia="宋体"/>
      <w:b w:val="0"/>
      <w:bCs w:val="0"/>
      <w:i w:val="0"/>
      <w:iCs w:val="0"/>
      <w:color w:val="243F61"/>
      <w:sz w:val="22"/>
      <w:szCs w:val="22"/>
      <w:lang w:val="en-US" w:eastAsia="en-US" w:bidi="ar-SA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5"/>
    </w:pPr>
    <w:rPr>
      <w:rFonts w:cstheme="majorBidi" w:ascii="Calibri" w:hAnsi="Calibri" w:eastAsia="宋体"/>
      <w:b w:val="0"/>
      <w:bCs w:val="0"/>
      <w:i/>
      <w:iCs/>
      <w:color w:val="243F61"/>
      <w:sz w:val="22"/>
      <w:szCs w:val="22"/>
      <w:lang w:val="en-US" w:eastAsia="en-US" w:bidi="ar-SA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Times New Roman" w:cs="Times New Roman" w:eastAsia="宋体" w:hAnsi="Times New Roman" w:hint="eastAsia"/>
      <w:b/>
      <w:bCs/>
      <w:color w:val="1F3A5F"/>
      <w:sz w:val="30"/>
    </w:rPr>
  </w:style>
  <w:style w:customStyle="1" w:styleId="Heading2Char" w:type="character">
    <w:name w:val="Heading 2 Char"/>
    <w:rPr>
      <w:rFonts w:ascii="Times New Roman" w:cs="Times New Roman" w:eastAsia="宋体" w:hAnsi="Times New Roman" w:hint="eastAsia"/>
      <w:b/>
      <w:bCs/>
      <w:color w:val="1F3A5F"/>
      <w:sz w:val="26"/>
    </w:rPr>
  </w:style>
  <w:style w:customStyle="1" w:styleId="Heading3Char" w:type="character">
    <w:name w:val="Heading 3 Char"/>
    <w:rPr>
      <w:rFonts w:ascii="Times New Roman" w:cs="Times New Roman" w:eastAsia="宋体" w:hAnsi="Times New Roman" w:hint="eastAsia"/>
      <w:b/>
      <w:bCs/>
      <w:color w:val="4F81BD"/>
      <w:sz w:val="22"/>
    </w:rPr>
  </w:style>
  <w:style w:customStyle="1" w:styleId="Heading4Char" w:type="character">
    <w:name w:val="Heading 4 Char"/>
    <w:rPr>
      <w:rFonts w:ascii="Times New Roman" w:cs="Times New Roman" w:eastAsia="宋体" w:hAnsi="Times New Roman" w:hint="eastAsia"/>
      <w:b/>
      <w:bCs/>
      <w:color w:val="4F81BD"/>
      <w:sz w:val="22"/>
    </w:rPr>
  </w:style>
  <w:style w:customStyle="1" w:styleId="Heading5Char" w:type="character">
    <w:name w:val="Heading 5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Times New Roman" w:cs="Times New Roman" w:eastAsia="宋体" w:hAnsi="Times New Roman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9D1DB" w:space="8" w:sz="18" w:val="single"/>
      </w:pBdr>
      <w:shd w:color="auto" w:fill="F9F9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Times New Roman" w:cs="Times New Roman" w:eastAsia="宋体" w:hAnsi="Times New Roman" w:hint="eastAsia"/>
      <w:b/>
      <w:color w:val="1F4E79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before="0" w:after="200" w:line="240" w:lineRule="auto"/>
      <w:ind w:left="0" w:right="0" w:firstLine="0"/>
      <w:jc w:val="left"/>
    </w:pPr>
    <w:rPr>
      <w:rFonts w:cstheme="minorBidi" w:ascii="Times New Roman" w:hAnsi="Times New Roman" w:eastAsia="宋体"/>
      <w:b/>
      <w:bCs/>
      <w:i w:val="0"/>
      <w:iCs w:val="0"/>
      <w:color w:val="4F81BD"/>
      <w:sz w:val="18"/>
      <w:szCs w:val="18"/>
      <w:lang w:val="en-US" w:eastAsia="en-US" w:bidi="ar-SA"/>
    </w:rPr>
  </w:style>
  <w:style w:customStyle="1" w:styleId="TableCaption" w:type="paragraph">
    <w:name w:val="Table Caption"/>
    <w:basedOn w:val="Caption"/>
    <w:qFormat/>
    <w:pPr>
      <w:keepNext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2E75B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48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9D1DB" w:space="4" w:sz="4" w:val="single"/>
        <w:left w:color="C9D1DB" w:space="4" w:sz="4" w:val="single"/>
        <w:bottom w:color="C9D1DB" w:space="4" w:sz="4" w:val="single"/>
        <w:right w:color="C9D1DB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450" w:val="center"/>
        <w:tab w:pos="890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  <w:style w:type="paragraph" w:styleId="tplHeader0">
    <w:name w:val="tpl header"/>
    <w:basedOn w:val="tplNormal1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plNormal1">
    <w:name w:val="tpl Normal"/>
    <w:rsid w:val="00FC693F"/>
    <w:pPr>
      <w:spacing w:after="200" w:line="276" w:lineRule="auto"/>
    </w:pPr>
    <w:rPr>
      <w:rFonts w:cstheme="minorBidi" w:ascii="Times New Roman" w:hAnsi="Times New Roman" w:eastAsia="宋体"/>
      <w:sz w:val="22"/>
      <w:szCs w:val="22"/>
      <w:lang w:val="en-US" w:eastAsia="en-US" w:bidi="ar-SA"/>
    </w:rPr>
  </w:style>
  <w:style w:type="paragraph" w:styleId="tplFooter2">
    <w:name w:val="tpl footer"/>
    <w:basedOn w:val="tplNormal1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</w:styles>
</file>

<file path=word/tpl1_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plHeader0"/>
      <w:tabs>
        <w:tab w:val="clear" w:pos="4680"/>
        <w:tab w:val="clear" w:pos="9360"/>
        <w:tab w:val="right" w:pos="8900"/>
      </w:tabs>
      <w:pBdr>
        <w:bottom w:val="single" w:sz="6" w:space="1" w:color="000000"/>
      </w:pBdr>
    </w:pPr>
    <w:r>
      <w:rPr>
        <w:sz w:val="18"/>
      </w:rPr>
      <w:t>Northwind Consultores</w:t>
    </w:r>
    <w:r>
      <w:rPr>
        <w:sz w:val="18"/>
      </w:rPr>
      <w:tab/>
      <w:t>Estudio de viabilidad</w:t>
    </w:r>
  </w:p>
</w:hdr>
</file>

<file path=word/tpl3_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plFooter2"/>
      <w:jc w:val="center"/>
    </w:pPr>
    <w:r>
      <w:rPr>
        <w:sz w:val="18"/>
      </w:rPr>
      <w:t xml:space="preserve">Página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de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tpl_cover_footer.xml><?xml version="1.0" encoding="utf-8"?>
<w:ftr xmlns:w="http://schemas.openxmlformats.org/wordprocessingml/2006/main">
  <w:p>
    <w:pPr>
      <w:spacing w:before="0" w:after="0"/>
    </w:pPr>
  </w:p>
</w:ftr>
</file>

<file path=word/tpl_cover_header.xml><?xml version="1.0" encoding="utf-8"?>
<w:hdr xmlns:w="http://schemas.openxmlformats.org/wordprocessingml/2006/main">
  <w:p>
    <w:pPr>
      <w:spacing w:before="0" w:after="0"/>
    </w:pPr>
  </w:p>
</w:hdr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8" Target="numbering.xml"/><Relationship Type="http://schemas.openxmlformats.org/officeDocument/2006/relationships/styles" Id="rId7" Target="styles.xml"/><Relationship Type="http://schemas.openxmlformats.org/officeDocument/2006/relationships/settings" Id="rId6" Target="settings.xml"/><Relationship Type="http://schemas.openxmlformats.org/officeDocument/2006/relationships/webSettings" Id="rId5" Target="webSettings.xml"/><Relationship Type="http://schemas.openxmlformats.org/officeDocument/2006/relationships/fontTable" Id="rId4" Target="fontTable.xml"/><Relationship Type="http://schemas.openxmlformats.org/officeDocument/2006/relationships/theme" Id="rId3" Target="theme/theme1.xml"/><Relationship Type="http://schemas.openxmlformats.org/officeDocument/2006/relationships/footnotes" Id="rId2" Target="footnotes.xml"/><Relationship Type="http://schemas.openxmlformats.org/officeDocument/2006/relationships/comments" Id="rId1" Target="comments.xml"/><Relationship Id="rIdDfFooter1" Target="footer1.xml" Type="http://schemas.openxmlformats.org/officeDocument/2006/relationships/footer"/><Relationship Type="http://schemas.openxmlformats.org/officeDocument/2006/relationships/header" Id="rIdDfHeader1" Target="header1.xml"/><Relationship Id="rIdTpl2" Type="http://schemas.openxmlformats.org/officeDocument/2006/relationships/header" Target="tpl1_header1.xml"/><Relationship Id="rIdTpl4" Type="http://schemas.openxmlformats.org/officeDocument/2006/relationships/footer" Target="tpl3_footer1.xml"/><Relationship Id="rIdTpl3" Type="http://schemas.openxmlformats.org/officeDocument/2006/relationships/image" Target="media/tpl1_image1.png"/><Relationship Id="rIdTplEmptyH" Type="http://schemas.openxmlformats.org/officeDocument/2006/relationships/header" Target="tpl_cover_header.xml"/><Relationship Id="rIdTplEmptyF" Type="http://schemas.openxmlformats.org/officeDocument/2006/relationships/footer" Target="tpl_cover_footer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Times New Roman" panose="02110004020202020204"/>
        <a:ea typeface="宋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es-ES</dc:language>
  <cp:keywords/>
  <dcterms:created xsi:type="dcterms:W3CDTF">2026-10-27T10:31:53Z</dcterms:created>
  <dcterms:modified xsi:type="dcterms:W3CDTF">2026-10-27T10:31:53Z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Resumen</vt:lpwstr>
  </property>
  <property fmtid="{D5CDD505-2E9C-101B-9397-08002B2CF9AE}" pid="3" name="client">
    <vt:lpwstr>Agencia de Renovación Urbana</vt:lpwstr>
  </property>
  <property fmtid="{D5CDD505-2E9C-101B-9397-08002B2CF9AE}" pid="4" name="report-no">
    <vt:lpwstr>NW-2026-018</vt:lpwstr>
  </property>
</Properties>
</file>