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1.png" ContentType="image/png"/>
  <Override PartName="/word/header1.xml" ContentType="application/vnd.openxmlformats-officedocument.wordprocessingml.head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lang w:val="es-ES"/>
        </w:rPr>
        <w:t xml:space="preserve">Informe de actividad del tercer trimestre de 2026</w:t>
      </w:r>
    </w:p>
    <w:p>
      <w:pPr>
        <w:pStyle w:val="Subtitle"/>
      </w:pPr>
      <w:r>
        <w:rPr>
          <w:lang w:val="es-ES"/>
        </w:rPr>
        <w:t xml:space="preserve">Región Este · Informe trimestral</w:t>
      </w:r>
    </w:p>
    <w:p>
      <w:pPr>
        <w:pStyle w:val="Author"/>
      </w:pPr>
      <w:r>
        <w:rPr>
          <w:lang w:val="es-ES"/>
        </w:rPr>
        <w:t xml:space="preserve">Dirección de Operaciones</w:t>
      </w:r>
    </w:p>
    <w:p>
      <w:pPr>
        <w:pStyle w:val="Date"/>
      </w:pPr>
      <w:r>
        <w:rPr>
          <w:lang w:val="es-ES"/>
        </w:rPr>
        <w:t xml:space="preserve">15 de octubre de 2026</w:t>
      </w:r>
    </w:p>
    <w:p>
      <w:pPr>
        <w:pStyle w:val="Heading1"/>
      </w:pPr>
      <w:bookmarkStart w:id="17" w:name="visi_n_general"/>
      <w:r>
        <w:rPr>
          <w:lang w:val="es-ES"/>
        </w:rPr>
        <w:t xml:space="preserve">Visión general</w:t>
      </w:r>
      <w:bookmarkEnd w:id="17"/>
    </w:p>
    <w:p>
      <w:pPr>
        <w:pStyle w:val="FirstParagraph"/>
      </w:pPr>
      <w:r>
        <w:rPr>
          <w:lang w:val="es-ES"/>
        </w:rPr>
        <w:t xml:space="preserve">La Región Este facturó</w:t>
      </w:r>
      <w:r>
        <w:rPr>
          <w:lang w:val="es-ES"/>
        </w:rPr>
        <w:t xml:space="preserve"> </w:t>
      </w:r>
      <w:r>
        <w:rPr>
          <w:b/>
          <w:bCs/>
          <w:lang w:val="es-ES"/>
        </w:rPr>
        <w:t xml:space="preserve">62,8 millones de euros</w:t>
      </w:r>
      <w:r>
        <w:rPr>
          <w:lang w:val="es-ES"/>
        </w:rPr>
        <w:t xml:space="preserve"> </w:t>
      </w:r>
      <w:r>
        <w:rPr>
          <w:lang w:val="es-ES"/>
        </w:rPr>
        <w:t xml:space="preserve">en el tercer trimestre, un</w:t>
      </w:r>
      <w:r>
        <w:rPr>
          <w:lang w:val="es-ES"/>
        </w:rPr>
        <w:t xml:space="preserve"> </w:t>
      </w:r>
      <w:r>
        <w:rPr>
          <w:rStyle w:val="DFChar3"/>
          <w:lang w:val="es-ES"/>
        </w:rPr>
        <w:t xml:space="preserve">18,4 %</w:t>
      </w:r>
      <w:r>
        <w:rPr>
          <w:lang w:val="es-ES"/>
        </w:rPr>
        <w:t xml:space="preserve"> </w:t>
      </w:r>
      <w:r>
        <w:rPr>
          <w:lang w:val="es-ES"/>
        </w:rPr>
        <w:t xml:space="preserve">más que hace un año y un 6,2 % más que en el trimestre anterior. El margen bruto alcanzó el 32,7 %, 1,1 puntos por encima del segundo trimestre. Firmamos 214 contratos nuevos, nueve de ellos por más de 1,3 millones de euros.</w:t>
      </w:r>
    </w:p>
    <w:p>
      <w:pPr>
        <w:pStyle w:val="DFPara2"/>
      </w:pPr>
      <w:r>
        <w:rPr>
          <w:b/>
          <w:bCs/>
          <w:lang w:val="es-ES"/>
        </w:rPr>
        <w:t xml:space="preserve">Nota</w:t>
      </w:r>
    </w:p>
    <w:p>
      <w:pPr>
        <w:pStyle w:val="DFPara1"/>
      </w:pPr>
      <w:r>
        <w:rPr>
          <w:lang w:val="es-ES"/>
        </w:rPr>
        <w:t xml:space="preserve">Datos a 30 de septiembre de 2026, con el mismo criterio que el presupuesto anual.</w:t>
      </w:r>
    </w:p>
    <w:p>
      <w:pPr>
        <w:pStyle w:val="Heading2"/>
      </w:pPr>
      <w:bookmarkStart w:id="16" w:name="ingresos_por_l_nea_de_producto"/>
      <w:r>
        <w:rPr>
          <w:lang w:val="es-ES"/>
        </w:rPr>
        <w:t xml:space="preserve">Ingresos por línea de producto</w:t>
      </w:r>
      <w:bookmarkEnd w:id="16"/>
    </w:p>
    <w:p>
      <w:pPr>
        <w:pStyle w:val="TableCaption"/>
      </w:pPr>
      <w:bookmarkStart w:id="10" w:name="tbl_rev"/>
      <w:bookmarkStart w:id="9" w:name="tbl_rev"/>
      <w:r>
        <w:rPr>
          <w:lang w:val="es-ES"/>
        </w:rPr>
        <w:t xml:space="preserve">Tabla </w:t>
      </w:r>
      <w:fldSimple w:instr="SEQ Table \* ARABIC ">
        <w:r>
          <w:t>1</w:t>
        </w:r>
      </w:fldSimple>
      <w:bookmarkEnd w:id="9"/>
      <w:r>
        <w:rPr>
          <w:lang w:val="es-ES"/>
        </w:rPr>
        <w:t xml:space="preserve">. Ingresos del tercer trimestre por línea de producto</w:t>
      </w:r>
      <w:bookmarkEnd w:id="10"/>
    </w:p>
    <w:tbl>
      <w:tblPr>
        <w:tblStyle w:val="Table"/>
        <w:tblW w:type="dxa" w:w="7919"/>
        <w:jc w:val="center"/>
        <w:tblBorders>
          <w:top w:val="single" w:sz="4" w:space="0" w:color="C9D1DB"/>
          <w:left w:val="single" w:sz="4" w:space="0" w:color="C9D1DB"/>
          <w:bottom w:val="single" w:sz="4" w:space="0" w:color="C9D1DB"/>
          <w:right w:val="single" w:sz="4" w:space="0" w:color="C9D1DB"/>
          <w:insideH w:val="single" w:sz="4" w:space="0" w:color="C9D1DB"/>
          <w:insideV w:val="single" w:sz="4" w:space="0" w:color="C9D1DB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Row="1" w:lastRow="0" w:firstColumn="0" w:lastColumn="0" w:noHBand="0" w:noVBand="0" w:val="0020"/>
        <w:tblCaption w:val="Ingresos del tercer trimestre por línea de producto"/>
      </w:tblPr>
      <w:tblGrid>
        <w:gridCol w:w="2955"/>
        <w:gridCol w:w="2364"/>
        <w:gridCol w:w="1418"/>
        <w:gridCol w:w="1182"/>
      </w:tblGrid>
      <w:tr>
        <w:trPr>
          <w:cantSplit/>
          <w:tblHeader w:val="on"/>
        </w:trPr>
        <w:tc>
          <w:tcPr>
            <w:shd w:val="clear" w:color="auto" w:fill="1F4E79"/>
            <w:vAlign w:val="center"/>
          </w:tcPr>
          <w:p>
            <w:pPr>
              <w:pStyle w:val="DFTableText"/>
            </w:pPr>
            <w:r>
              <w:rPr>
                <w:b/>
                <w:bCs/>
                <w:color w:val="FFFFFF"/>
                <w:lang w:val="es-ES"/>
              </w:rPr>
              <w:t xml:space="preserve">Línea de producto</w:t>
            </w:r>
          </w:p>
        </w:tc>
        <w:tc>
          <w:tcPr>
            <w:shd w:val="clear" w:color="auto" w:fill="1F4E79"/>
            <w:vAlign w:val="center"/>
          </w:tcPr>
          <w:p>
            <w:pPr>
              <w:pStyle w:val="DFTableText"/>
              <w:jc w:val="right"/>
            </w:pPr>
            <w:r>
              <w:rPr>
                <w:b/>
                <w:bCs/>
                <w:color w:val="FFFFFF"/>
                <w:lang w:val="es-ES"/>
              </w:rPr>
              <w:t xml:space="preserve">Ingresos (miles €)</w:t>
            </w:r>
          </w:p>
        </w:tc>
        <w:tc>
          <w:tcPr>
            <w:shd w:val="clear" w:color="auto" w:fill="1F4E79"/>
            <w:vAlign w:val="center"/>
          </w:tcPr>
          <w:p>
            <w:pPr>
              <w:pStyle w:val="DFTableText"/>
              <w:jc w:val="right"/>
            </w:pPr>
            <w:r>
              <w:rPr>
                <w:b/>
                <w:bCs/>
                <w:color w:val="FFFFFF"/>
                <w:lang w:val="es-ES"/>
              </w:rPr>
              <w:t xml:space="preserve">Interanual</w:t>
            </w:r>
          </w:p>
        </w:tc>
        <w:tc>
          <w:tcPr>
            <w:shd w:val="clear" w:color="auto" w:fill="1F4E79"/>
            <w:vAlign w:val="center"/>
          </w:tcPr>
          <w:p>
            <w:pPr>
              <w:pStyle w:val="DFTableText"/>
              <w:jc w:val="right"/>
            </w:pPr>
            <w:r>
              <w:rPr>
                <w:b/>
                <w:bCs/>
                <w:color w:val="FFFFFF"/>
                <w:lang w:val="es-ES"/>
              </w:rPr>
              <w:t xml:space="preserve">Peso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lang w:val="es-ES"/>
              </w:rPr>
              <w:t xml:space="preserve">Software empresarial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es-ES"/>
              </w:rPr>
              <w:t xml:space="preserve">27.950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es-ES"/>
              </w:rPr>
              <w:t xml:space="preserve">+22,5 %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es-ES"/>
              </w:rPr>
              <w:t xml:space="preserve">44,5 %</w:t>
            </w:r>
          </w:p>
        </w:tc>
      </w:tr>
      <w:tr>
        <w:trPr>
          <w:cantSplit/>
        </w:trPr>
        <w:tc>
          <w:tcPr>
            <w:shd w:val="clear" w:color="auto" w:fill="F3F6FA"/>
            <w:vAlign w:val="center"/>
          </w:tcPr>
          <w:p>
            <w:pPr>
              <w:pStyle w:val="DFTableText"/>
            </w:pPr>
            <w:r>
              <w:rPr>
                <w:lang w:val="es-ES"/>
              </w:rPr>
              <w:t xml:space="preserve">Servicios en la nube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lang w:val="es-ES"/>
              </w:rPr>
              <w:t xml:space="preserve">19.720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lang w:val="es-ES"/>
              </w:rPr>
              <w:t xml:space="preserve">+31,8 %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lang w:val="es-ES"/>
              </w:rPr>
              <w:t xml:space="preserve">31,4 %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lang w:val="es-ES"/>
              </w:rPr>
              <w:t xml:space="preserve">Consultoría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es-ES"/>
              </w:rPr>
              <w:t xml:space="preserve">10.490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es-ES"/>
              </w:rPr>
              <w:t xml:space="preserve">−3,6 %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es-ES"/>
              </w:rPr>
              <w:t xml:space="preserve">16,7 %</w:t>
            </w:r>
          </w:p>
        </w:tc>
      </w:tr>
      <w:tr>
        <w:trPr>
          <w:cantSplit/>
        </w:trPr>
        <w:tc>
          <w:tcPr>
            <w:shd w:val="clear" w:color="auto" w:fill="F3F6FA"/>
            <w:vAlign w:val="center"/>
          </w:tcPr>
          <w:p>
            <w:pPr>
              <w:pStyle w:val="DFTableText"/>
            </w:pPr>
            <w:r>
              <w:rPr>
                <w:lang w:val="es-ES"/>
              </w:rPr>
              <w:t xml:space="preserve">Hardware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lang w:val="es-ES"/>
              </w:rPr>
              <w:t xml:space="preserve">4.640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lang w:val="es-ES"/>
              </w:rPr>
              <w:t xml:space="preserve">+4,2 %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lang w:val="es-ES"/>
              </w:rPr>
              <w:t xml:space="preserve">7,4 %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b/>
                <w:bCs/>
                <w:lang w:val="es-ES"/>
              </w:rPr>
              <w:t xml:space="preserve">Total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b/>
                <w:bCs/>
                <w:lang w:val="es-ES"/>
              </w:rPr>
              <w:t xml:space="preserve">62.800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b/>
                <w:bCs/>
                <w:lang w:val="es-ES"/>
              </w:rPr>
              <w:t xml:space="preserve">+18,4 %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b/>
                <w:bCs/>
                <w:lang w:val="es-ES"/>
              </w:rPr>
              <w:t xml:space="preserve">100 %</w:t>
            </w:r>
          </w:p>
        </w:tc>
      </w:tr>
    </w:tbl>
    <w:p>
      <w:pPr>
        <w:pStyle w:val="BodyText"/>
      </w:pPr>
      <w:r>
        <w:rPr>
          <w:lang w:val="es-ES"/>
        </w:rPr>
        <w:t xml:space="preserve">Los servicios en la nube son los que más crecen (véase la</w:t>
      </w:r>
      <w:r>
        <w:rPr>
          <w:lang w:val="es-ES"/>
        </w:rPr>
        <w:t xml:space="preserve"> </w:t>
      </w:r>
      <w:hyperlink w:anchor="tbl_rev">
        <w:r>
          <w:rPr>
            <w:rStyle w:val="Hyperlink"/>
            <w:lang w:val="es-ES"/>
          </w:rPr>
          <w:t xml:space="preserve">Tabla 1</w:t>
        </w:r>
      </w:hyperlink>
      <w:r>
        <w:rPr>
          <w:lang w:val="es-ES"/>
        </w:rPr>
        <w:t xml:space="preserve">), impulsados por las implantaciones locales en clientes industriales.</w:t>
      </w:r>
    </w:p>
    <w:p>
      <w:pPr>
        <w:pStyle w:val="CaptionedFigure"/>
      </w:pPr>
      <w:bookmarkStart w:id="15" w:name="fig_trend"/>
      <w:r>
        <w:drawing>
          <wp:inline>
            <wp:extent cx="5062728" cy="2657932"/>
            <wp:effectExtent b="0" l="0" r="0" t="0"/>
            <wp:docPr descr="Ingresos y margen bruto por mes" title="" id="12" name="Picture"/>
            <a:graphic>
              <a:graphicData uri="http://schemas.openxmlformats.org/drawingml/2006/picture">
                <pic:pic>
                  <pic:nvPicPr>
                    <pic:cNvPr descr="/var/folders/bl/5n_h09gn4dsd1gktj5qcv54w0000gn/T/docforge-vtcpb6qm/media-docx/image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2728" cy="26579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15"/>
    </w:p>
    <w:p>
      <w:pPr>
        <w:pStyle w:val="ImageCaption"/>
      </w:pPr>
      <w:bookmarkStart w:id="14" w:name="ref_fig_trend"/>
      <w:r>
        <w:rPr>
          <w:lang w:val="es-ES"/>
        </w:rPr>
        <w:t xml:space="preserve">Figura </w:t>
      </w:r>
      <w:fldSimple w:instr="SEQ Figure \* ARABIC ">
        <w:r>
          <w:t>1</w:t>
        </w:r>
      </w:fldSimple>
      <w:bookmarkEnd w:id="14"/>
      <w:r>
        <w:rPr>
          <w:lang w:val="es-ES"/>
        </w:rPr>
        <w:t xml:space="preserve">. Ingresos y margen bruto por mes</w:t>
      </w:r>
    </w:p>
    <w:p>
      <w:pPr>
        <w:pStyle w:val="Heading1"/>
      </w:pPr>
      <w:bookmarkStart w:id="18" w:name="pr_ximo_trimestre"/>
      <w:r>
        <w:rPr>
          <w:lang w:val="es-ES"/>
        </w:rPr>
        <w:t xml:space="preserve">Próximo trimestre</w:t>
      </w:r>
      <w:bookmarkEnd w:id="18"/>
    </w:p>
    <w:p>
      <w:pPr>
        <w:pStyle w:val="Compact"/>
        <w:numPr>
          <w:ilvl w:val="0"/>
          <w:numId w:val="1001"/>
        </w:numPr>
      </w:pPr>
      <w:r>
        <w:rPr>
          <w:lang w:val="es-ES"/>
        </w:rPr>
        <w:t xml:space="preserve">Ampliar el equipo de implantación en la nube con 30 consultores;</w:t>
      </w:r>
    </w:p>
    <w:p>
      <w:pPr>
        <w:pStyle w:val="Compact"/>
        <w:numPr>
          <w:ilvl w:val="0"/>
          <w:numId w:val="1001"/>
        </w:numPr>
      </w:pPr>
      <w:r>
        <w:rPr>
          <w:lang w:val="es-ES"/>
        </w:rPr>
        <w:t xml:space="preserve">centrar la consultoría en las renovaciones, con un objetivo del 85 %;</w:t>
      </w:r>
    </w:p>
    <w:p>
      <w:pPr>
        <w:pStyle w:val="Compact"/>
        <w:numPr>
          <w:ilvl w:val="0"/>
          <w:numId w:val="1001"/>
        </w:numPr>
      </w:pPr>
      <w:r>
        <w:rPr>
          <w:lang w:val="es-ES"/>
        </w:rPr>
        <w:t xml:space="preserve">mantener los gastos comerciales por debajo del 12 % de los ingresos.</w:t>
      </w:r>
    </w:p>
    <w:sectPr>
      <w:headerReference w:type="default" r:id="rIdDfHeader1"/>
      <w:footerReference r:id="rIdDfFooter1" w:type="default"/>
      <w:footerReference w:type="first" r:id="rIdDfFooter1"/>
      <w:footnotePr>
        <w:numRestart w:val="eachSect"/>
      </w:footnotePr>
      <w:pgSz w:h="16838" w:w="11906"/>
      <w:pgMar w:bottom="1417" w:footer="709" w:gutter="0" w:header="851" w:left="1417" w:right="1417" w:top="1417"/>
      <w:cols w:space="425"/>
      <w:titlePg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</w:font>
  <w:font w:name="游明朝">
    <w:altName w:val="Yu Mincho"/>
    <w:panose1 w:val="02020400000000000000"/>
    <w:charset w:val="80"/>
    <w:family w:val="roman"/>
    <w:pitch w:val="variable"/>
  </w:font>
  <w:font w:name="游ゴシック">
    <w:altName w:val="Yu Gothic"/>
    <w:panose1 w:val="020B0400000000000000"/>
    <w:charset w:val="80"/>
    <w:family w:val="swiss"/>
    <w:pitch w:val="variable"/>
  </w:font>
  <w:font w:name="黑体">
    <w:altName w:val="SimHei"/>
    <w:panose1 w:val="02010609060101010101"/>
    <w:charset w:val="86"/>
    <w:family w:val="modern"/>
    <w:pitch w:val="variable"/>
  </w:font>
  <w:font w:name="楷体">
    <w:altName w:val="KaiTi"/>
    <w:panose1 w:val="02010609060101010101"/>
    <w:charset w:val="86"/>
    <w:family w:val="modern"/>
    <w:pitch w:val="fixed"/>
  </w:font>
  <w:font w:name="仿宋">
    <w:altName w:val="FangSong"/>
    <w:panose1 w:val="02010609060101010101"/>
    <w:charset w:val="86"/>
    <w:family w:val="modern"/>
    <w:pitch w:val="fixed"/>
  </w:font>
  <w:font w:name="微软雅黑">
    <w:altName w:val="Microsoft YaHei"/>
    <w:panose1 w:val="020B0503020204020204"/>
    <w:charset w:val="86"/>
    <w:family w:val="swiss"/>
    <w:pitch w:val="variable"/>
  </w:font>
  <w:font w:name="Consolas">
    <w:altName w:val="Menlo"/>
    <w:panose1 w:val="020B0609020204030204"/>
    <w:charset w:val="00"/>
    <w:family w:val="modern"/>
    <w:pitch w:val="fixed"/>
  </w:font>
  <w:font w:name="Arial">
    <w:altName w:val="Helvetica"/>
    <w:panose1 w:val="020B0604020202020204"/>
    <w:charset w:val="00"/>
    <w:family w:val="swiss"/>
    <w:pitch w:val="variable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6B7280"/>
        <w:sz w:val="18"/>
      </w:rPr>
      <w:fldChar w:fldCharType="begin"/>
    </w:r>
    <w:r>
      <w:rPr>
        <w:color w:val="6B7280"/>
        <w:sz w:val="18"/>
      </w:rPr>
      <w:instrText xml:space="preserve"> PAGE </w:instrText>
    </w:r>
    <w:r>
      <w:rPr>
        <w:color w:val="6B7280"/>
        <w:sz w:val="18"/>
      </w:rPr>
      <w:fldChar w:fldCharType="separate"/>
    </w:r>
    <w:r>
      <w:rPr>
        <w:color w:val="6B7280"/>
        <w:sz w:val="18"/>
      </w:rPr>
      <w:t>1</w:t>
    </w:r>
    <w:r>
      <w:rPr>
        <w:color w:val="6B7280"/>
        <w:sz w:val="18"/>
      </w:rPr>
      <w:fldChar w:fldCharType="end"/>
    </w:r>
    <w:r>
      <w:rPr>
        <w:color w:val="6B7280"/>
        <w:sz w:val="18"/>
      </w:rPr>
      <w:t xml:space="preserve"> / </w:t>
    </w:r>
    <w:r>
      <w:rPr>
        <w:color w:val="6B7280"/>
        <w:sz w:val="18"/>
      </w:rPr>
      <w:fldChar w:fldCharType="begin"/>
    </w:r>
    <w:r>
      <w:rPr>
        <w:color w:val="6B7280"/>
        <w:sz w:val="18"/>
      </w:rPr>
      <w:instrText xml:space="preserve"> NUMPAGES </w:instrText>
    </w:r>
    <w:r>
      <w:rPr>
        <w:color w:val="6B7280"/>
        <w:sz w:val="18"/>
      </w:rPr>
      <w:fldChar w:fldCharType="separate"/>
    </w:r>
    <w:r>
      <w:rPr>
        <w:color w:val="6B7280"/>
        <w:sz w:val="18"/>
      </w:rPr>
      <w:t>1</w:t>
    </w:r>
    <w:r>
      <w:rPr>
        <w:color w:val="6B7280"/>
        <w:sz w:val="18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Bdr>
        <w:bottom w:val="single" w:sz="4" w:space="4" w:color="CED6DF"/>
      </w:pBdr>
      <w:tabs>
        <w:tab w:val="right" w:pos="9071"/>
      </w:tabs>
      <w:spacing w:after="0"/>
      <w:jc w:val="left"/>
    </w:pPr>
    <w:r>
      <w:rPr>
        <w:color w:val="6B7280"/>
        <w:sz w:val="18"/>
        <w:szCs w:val="18"/>
      </w:rPr>
      <w:t xml:space="preserve">Informe de actividad del tercer trimestre de 2026</w:t>
    </w:r>
    <w:r>
      <w:rPr>
        <w:color w:val="6B7280"/>
        <w:sz w:val="18"/>
        <w:szCs w:val="18"/>
      </w:rPr>
      <w:tab/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 xml:space="preserve"> STYLEREF "heading 1" \* MERGEFORMAT </w:instrText>
    </w:r>
    <w:r>
      <w:rPr>
        <w:color w:val="6B7280"/>
        <w:sz w:val="18"/>
        <w:szCs w:val="18"/>
      </w:rPr>
      <w:fldChar w:fldCharType="separate"/>
    </w:r>
    <w:r>
      <w:rPr>
        <w:color w:val="6B7280"/>
        <w:sz w:val="18"/>
        <w:szCs w:val="18"/>
      </w:rPr>
      <w:t/>
    </w:r>
    <w:r>
      <w:rPr>
        <w:color w:val="6B7280"/>
        <w:sz w:val="18"/>
        <w:szCs w:val="18"/>
      </w:rPr>
      <w:fldChar w:fldCharType="end"/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ExpandShiftReturn/>
  </w:compat>
  <w:rsids>
  </w:rsids>
  <w:themeFontLang w:eastAsia="zh-CN" w:val="es-E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cs="Times New Roman" w:eastAsia="宋体" w:hAnsi="Times New Roman" w:hint="eastAsia"/>
        <w:sz w:val="22"/>
        <w:szCs w:val="22"/>
        <w:lang w:bidi="ar-SA" w:eastAsia="zh-CN" w:val="es-E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pacing w:after="0" w:line="394" w:lineRule="atLeast"/>
      <w:jc w:val="both"/>
    </w:pPr>
    <w:rPr>
      <w:rFonts w:ascii="Times New Roman" w:cs="Times New Roman" w:eastAsia="宋体" w:hAnsi="Times New Roman" w:hint="eastAsia"/>
      <w:color w:val="222222"/>
      <w:kern w:val="0"/>
      <w:sz w:val="22"/>
      <w:szCs w:val="22"/>
      <w:lang w:eastAsia="zh-CN" w:val="es-ES"/>
    </w:rPr>
  </w:style>
  <w:style w:styleId="BodyText" w:type="paragraph">
    <w:name w:val="Body Text"/>
    <w:basedOn w:val="Normal"/>
    <w:next w:val="BodyText"/>
    <w:link w:val="BodyTextChar"/>
    <w:qFormat/>
    <w:pPr>
      <w:spacing w:after="120" w:before="60"/>
    </w:pPr>
  </w:style>
  <w:style w:styleId="FirstParagraph" w:type="paragraph">
    <w:name w:val="First Paragraph"/>
    <w:basedOn w:val="BodyText"/>
    <w:next w:val="BodyText"/>
    <w:qFormat/>
  </w:style>
  <w:style w:styleId="Compact" w:type="paragraph">
    <w:name w:val="Compact"/>
    <w:basedOn w:val="BodyText"/>
    <w:qFormat/>
    <w:pPr>
      <w:spacing w:after="20" w:before="20" w:line="300" w:lineRule="auto"/>
      <w:ind w:firstLine="0" w:firstLineChars="0"/>
      <w:jc w:val="left"/>
    </w:pPr>
  </w:style>
  <w:style w:styleId="Title" w:type="paragraph">
    <w:name w:val="Title"/>
    <w:basedOn w:val="Normal"/>
    <w:next w:val="BodyText"/>
    <w:qFormat/>
    <w:pPr>
      <w:spacing w:after="120" w:before="240" w:line="240" w:lineRule="auto"/>
      <w:jc w:val="center"/>
    </w:pPr>
    <w:rPr>
      <w:rFonts w:ascii="Arial" w:cs="Arial" w:eastAsia="黑体" w:hAnsi="Arial" w:hint="eastAsia"/>
      <w:b/>
      <w:bCs/>
      <w:color w:val="1F4E79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Normal"/>
    <w:next w:val="BodyText"/>
    <w:qFormat/>
    <w:pPr>
      <w:spacing w:after="160" w:before="0"/>
      <w:jc w:val="center"/>
    </w:pPr>
    <w:rPr>
      <w:rFonts w:ascii="Arial" w:cs="Arial" w:eastAsia="黑体" w:hAnsi="Arial" w:hint="eastAsia"/>
      <w:color w:val="6B7280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styleId="Author" w:type="paragraph">
    <w:name w:val="Author"/>
    <w:basedOn w:val="Normal"/>
    <w:next w:val="BodyText"/>
    <w:qFormat/>
    <w:pPr>
      <w:spacing w:after="40"/>
      <w:jc w:val="center"/>
    </w:pPr>
    <w:rPr>
      <w:color w:val="6B7280"/>
    </w:rPr>
  </w:style>
  <w:style w:styleId="Date" w:type="paragraph">
    <w:name w:val="Date"/>
    <w:basedOn w:val="Normal"/>
    <w:next w:val="BodyText"/>
    <w:qFormat/>
    <w:pPr>
      <w:pBdr>
        <w:bottom w:color="1F4E79" w:space="8" w:sz="8" w:val="single"/>
      </w:pBdr>
      <w:spacing w:after="240"/>
      <w:jc w:val="center"/>
    </w:pPr>
    <w:rPr>
      <w:color w:val="6B7280"/>
      <w:sz w:val="20"/>
    </w:rPr>
  </w:style>
  <w:style w:styleId="AbstractTitle" w:type="paragraph">
    <w:name w:val="Abstract Title"/>
    <w:basedOn w:val="Normal"/>
    <w:next w:val="Abstract"/>
    <w:qFormat/>
    <w:pPr>
      <w:keepNext/>
      <w:spacing w:after="60" w:before="200"/>
      <w:jc w:val="center"/>
    </w:pPr>
    <w:rPr>
      <w:rFonts w:ascii="Arial" w:cs="Arial" w:eastAsia="黑体" w:hAnsi="Arial" w:hint="eastAsia"/>
      <w:b/>
      <w:color w:val="1F4E79"/>
    </w:rPr>
  </w:style>
  <w:style w:styleId="Abstract" w:type="paragraph">
    <w:name w:val="Abstract"/>
    <w:basedOn w:val="Normal"/>
    <w:next w:val="BodyText"/>
    <w:qFormat/>
    <w:pPr>
      <w:spacing w:after="200" w:before="60"/>
      <w:ind w:left="567" w:right="567"/>
    </w:pPr>
    <w:rPr>
      <w:color w:val="6B7280"/>
      <w:sz w:val="21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pBdr>
        <w:bottom w:color="9AAFC3" w:space="4" w:sz="6" w:val="single"/>
      </w:pBdr>
      <w:spacing w:after="160" w:before="360" w:line="300" w:lineRule="auto"/>
      <w:ind w:firstLine="0" w:firstLineChars="0"/>
      <w:jc w:val="left"/>
      <w:outlineLvl w:val="0"/>
    </w:pPr>
    <w:rPr>
      <w:rFonts w:ascii="Arial" w:cs="Arial" w:eastAsia="黑体" w:hAnsi="Arial" w:hint="eastAsia"/>
      <w:b/>
      <w:bCs/>
      <w:color w:val="1F4E79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20" w:before="280" w:line="300" w:lineRule="auto"/>
      <w:ind w:firstLine="0" w:firstLineChars="0"/>
      <w:jc w:val="left"/>
      <w:outlineLvl w:val="1"/>
    </w:pPr>
    <w:rPr>
      <w:rFonts w:ascii="Arial" w:cs="Arial" w:eastAsia="黑体" w:hAnsi="Arial" w:hint="eastAsia"/>
      <w:b/>
      <w:bCs/>
      <w:color w:val="1F4E79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100" w:before="220" w:line="300" w:lineRule="auto"/>
      <w:ind w:firstLine="0" w:firstLineChars="0"/>
      <w:jc w:val="left"/>
      <w:outlineLvl w:val="2"/>
    </w:pPr>
    <w:rPr>
      <w:rFonts w:ascii="Arial" w:cs="Arial" w:eastAsia="黑体" w:hAnsi="Arial" w:hint="eastAsia"/>
      <w:b/>
      <w:bCs/>
      <w:color w:val="1F4E79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80" w:before="180" w:line="300" w:lineRule="auto"/>
      <w:ind w:firstLine="0" w:firstLineChars="0"/>
      <w:jc w:val="left"/>
      <w:outlineLvl w:val="3"/>
    </w:pPr>
    <w:rPr>
      <w:rFonts w:ascii="Arial" w:cs="Arial" w:eastAsia="黑体" w:hAnsi="Arial" w:hint="eastAsia"/>
      <w:b/>
      <w:bCs/>
      <w:color w:val="1F4E79"/>
      <w:sz w:val="24"/>
      <w:szCs w:val="24"/>
    </w:rPr>
  </w:style>
  <w:style w:styleId="Heading5" w:type="paragraph">
    <w:name w:val="heading 5"/>
    <w:basedOn w:val="Normal"/>
    <w:next w:val="BodyText"/>
    <w:link w:val="Heading5Char"/>
    <w:uiPriority w:val="9"/>
    <w:qFormat/>
    <w:pPr>
      <w:keepNext/>
      <w:keepLines/>
      <w:spacing w:after="60" w:before="160" w:line="300" w:lineRule="auto"/>
      <w:ind w:firstLine="0" w:firstLineChars="0"/>
      <w:jc w:val="left"/>
      <w:outlineLvl w:val="4"/>
    </w:pPr>
    <w:rPr>
      <w:rFonts w:ascii="Arial" w:cs="Arial" w:eastAsia="黑体" w:hAnsi="Arial" w:hint="eastAsia"/>
      <w:b/>
      <w:bCs/>
      <w:color w:val="222222"/>
      <w:sz w:val="22"/>
      <w:szCs w:val="22"/>
    </w:rPr>
  </w:style>
  <w:style w:styleId="Heading6" w:type="paragraph">
    <w:name w:val="heading 6"/>
    <w:basedOn w:val="Normal"/>
    <w:next w:val="BodyText"/>
    <w:link w:val="Heading6Char"/>
    <w:uiPriority w:val="9"/>
    <w:qFormat/>
    <w:pPr>
      <w:keepNext/>
      <w:keepLines/>
      <w:spacing w:after="60" w:before="160" w:line="300" w:lineRule="auto"/>
      <w:ind w:firstLine="0" w:firstLineChars="0"/>
      <w:jc w:val="left"/>
      <w:outlineLvl w:val="5"/>
    </w:pPr>
    <w:rPr>
      <w:rFonts w:ascii="Arial" w:cs="Arial" w:eastAsia="黑体" w:hAnsi="Arial" w:hint="eastAsia"/>
      <w:b/>
      <w:bCs/>
      <w:color w:val="222222"/>
      <w:sz w:val="22"/>
      <w:szCs w:val="22"/>
    </w:rPr>
  </w:style>
  <w:style w:styleId="Heading7" w:type="paragraph">
    <w:name w:val="heading 7"/>
    <w:basedOn w:val="Normal"/>
    <w:next w:val="BodyText"/>
    <w:link w:val="Heading7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6"/>
    </w:pPr>
    <w:rPr>
      <w:rFonts w:ascii="Arial" w:cs="Arial" w:eastAsia="黑体" w:hAnsi="Arial" w:hint="eastAsia"/>
      <w:b/>
      <w:bCs/>
      <w:color w:val="222222"/>
      <w:sz w:val="22"/>
      <w:szCs w:val="22"/>
    </w:rPr>
  </w:style>
  <w:style w:styleId="Heading8" w:type="paragraph">
    <w:name w:val="heading 8"/>
    <w:basedOn w:val="Normal"/>
    <w:next w:val="BodyText"/>
    <w:link w:val="Heading8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7"/>
    </w:pPr>
    <w:rPr>
      <w:rFonts w:ascii="Arial" w:cs="Arial" w:eastAsia="黑体" w:hAnsi="Arial" w:hint="eastAsia"/>
      <w:b/>
      <w:bCs/>
      <w:color w:val="222222"/>
      <w:sz w:val="22"/>
      <w:szCs w:val="22"/>
    </w:rPr>
  </w:style>
  <w:style w:styleId="Heading9" w:type="paragraph">
    <w:name w:val="heading 9"/>
    <w:basedOn w:val="Normal"/>
    <w:next w:val="BodyText"/>
    <w:link w:val="Heading9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8"/>
    </w:pPr>
    <w:rPr>
      <w:rFonts w:ascii="Arial" w:cs="Arial" w:eastAsia="黑体" w:hAnsi="Arial" w:hint="eastAsia"/>
      <w:b/>
      <w:bCs/>
      <w:color w:val="222222"/>
      <w:sz w:val="22"/>
      <w:szCs w:val="22"/>
    </w:rPr>
  </w:style>
  <w:style w:customStyle="1" w:styleId="Heading1Char" w:type="character">
    <w:name w:val="Heading 1 Char"/>
    <w:rPr>
      <w:rFonts w:ascii="Arial" w:cs="Arial" w:eastAsia="黑体" w:hAnsi="Arial" w:hint="eastAsia"/>
      <w:b/>
      <w:bCs/>
      <w:color w:val="1F4E79"/>
      <w:sz w:val="40"/>
    </w:rPr>
  </w:style>
  <w:style w:customStyle="1" w:styleId="Heading2Char" w:type="character">
    <w:name w:val="Heading 2 Char"/>
    <w:rPr>
      <w:rFonts w:ascii="Arial" w:cs="Arial" w:eastAsia="黑体" w:hAnsi="Arial" w:hint="eastAsia"/>
      <w:b/>
      <w:bCs/>
      <w:color w:val="1F4E79"/>
      <w:sz w:val="32"/>
    </w:rPr>
  </w:style>
  <w:style w:customStyle="1" w:styleId="Heading3Char" w:type="character">
    <w:name w:val="Heading 3 Char"/>
    <w:rPr>
      <w:rFonts w:ascii="Arial" w:cs="Arial" w:eastAsia="黑体" w:hAnsi="Arial" w:hint="eastAsia"/>
      <w:b/>
      <w:bCs/>
      <w:color w:val="1F4E79"/>
      <w:sz w:val="28"/>
    </w:rPr>
  </w:style>
  <w:style w:customStyle="1" w:styleId="Heading4Char" w:type="character">
    <w:name w:val="Heading 4 Char"/>
    <w:rPr>
      <w:rFonts w:ascii="Arial" w:cs="Arial" w:eastAsia="黑体" w:hAnsi="Arial" w:hint="eastAsia"/>
      <w:b/>
      <w:bCs/>
      <w:color w:val="1F4E79"/>
      <w:sz w:val="24"/>
    </w:rPr>
  </w:style>
  <w:style w:customStyle="1" w:styleId="Heading5Char" w:type="character">
    <w:name w:val="Heading 5 Char"/>
    <w:rPr>
      <w:rFonts w:ascii="Arial" w:cs="Arial" w:eastAsia="黑体" w:hAnsi="Arial" w:hint="eastAsia"/>
      <w:b/>
      <w:bCs/>
      <w:color w:val="222222"/>
      <w:sz w:val="22"/>
    </w:rPr>
  </w:style>
  <w:style w:customStyle="1" w:styleId="Heading6Char" w:type="character">
    <w:name w:val="Heading 6 Char"/>
    <w:rPr>
      <w:rFonts w:ascii="Arial" w:cs="Arial" w:eastAsia="黑体" w:hAnsi="Arial" w:hint="eastAsia"/>
      <w:b/>
      <w:bCs/>
      <w:color w:val="222222"/>
      <w:sz w:val="22"/>
    </w:rPr>
  </w:style>
  <w:style w:customStyle="1" w:styleId="Heading7Char" w:type="character">
    <w:name w:val="Heading 7 Char"/>
    <w:rPr>
      <w:rFonts w:ascii="Arial" w:cs="Arial" w:eastAsia="黑体" w:hAnsi="Arial" w:hint="eastAsia"/>
      <w:b/>
      <w:bCs/>
      <w:color w:val="222222"/>
      <w:sz w:val="22"/>
    </w:rPr>
  </w:style>
  <w:style w:customStyle="1" w:styleId="Heading8Char" w:type="character">
    <w:name w:val="Heading 8 Char"/>
    <w:rPr>
      <w:rFonts w:ascii="Arial" w:cs="Arial" w:eastAsia="黑体" w:hAnsi="Arial" w:hint="eastAsia"/>
      <w:b/>
      <w:bCs/>
      <w:color w:val="222222"/>
      <w:sz w:val="22"/>
    </w:rPr>
  </w:style>
  <w:style w:customStyle="1" w:styleId="Heading9Char" w:type="character">
    <w:name w:val="Heading 9 Char"/>
    <w:rPr>
      <w:rFonts w:ascii="Arial" w:cs="Arial" w:eastAsia="黑体" w:hAnsi="Arial" w:hint="eastAsia"/>
      <w:b/>
      <w:bCs/>
      <w:color w:val="222222"/>
      <w:sz w:val="22"/>
    </w:rPr>
  </w:style>
  <w:style w:styleId="BlockText" w:type="paragraph">
    <w:name w:val="Block Text"/>
    <w:basedOn w:val="BodyText"/>
    <w:next w:val="BodyText"/>
    <w:qFormat/>
    <w:pPr>
      <w:pBdr>
        <w:left w:color="C9D1DB" w:space="8" w:sz="18" w:val="single"/>
      </w:pBdr>
      <w:shd w:color="auto" w:fill="F9F9FB" w:val="clear"/>
      <w:spacing w:after="60" w:before="60"/>
      <w:ind w:firstLine="0" w:firstLineChars="0" w:left="300" w:right="200"/>
    </w:pPr>
    <w:rPr>
      <w:color w:val="6B7280"/>
    </w:rPr>
  </w:style>
  <w:style w:styleId="FootnoteText" w:type="paragraph">
    <w:name w:val="footnote text"/>
    <w:basedOn w:val="Normal"/>
    <w:qFormat/>
    <w:pPr>
      <w:spacing w:after="40" w:line="260" w:lineRule="auto"/>
    </w:pPr>
    <w:rPr>
      <w:sz w:val="18"/>
      <w:szCs w:val="18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Normal"/>
    <w:next w:val="Definition"/>
    <w:qFormat/>
    <w:pPr>
      <w:keepNext/>
      <w:spacing w:after="0" w:before="80"/>
      <w:ind w:firstLine="0" w:firstLineChars="0"/>
    </w:pPr>
    <w:rPr>
      <w:rFonts w:ascii="Arial" w:cs="Arial" w:eastAsia="黑体" w:hAnsi="Arial" w:hint="eastAsia"/>
      <w:b/>
      <w:color w:val="1F4E79"/>
    </w:rPr>
  </w:style>
  <w:style w:customStyle="1" w:styleId="Definition" w:type="paragraph">
    <w:name w:val="Definition"/>
    <w:basedOn w:val="Normal"/>
    <w:qFormat/>
    <w:pPr>
      <w:spacing w:after="80" w:before="0"/>
      <w:ind w:firstLine="0" w:firstLineChars="0" w:left="420"/>
    </w:pPr>
  </w:style>
  <w:style w:styleId="Caption" w:type="paragraph">
    <w:name w:val="caption"/>
    <w:basedOn w:val="Normal"/>
    <w:next w:val="BodyText"/>
    <w:qFormat/>
    <w:pPr>
      <w:spacing w:after="200" w:before="60"/>
      <w:ind w:firstLine="0" w:firstLineChars="0"/>
      <w:jc w:val="center"/>
    </w:pPr>
    <w:rPr>
      <w:color w:val="6B7280"/>
      <w:sz w:val="19"/>
      <w:szCs w:val="19"/>
    </w:rPr>
  </w:style>
  <w:style w:customStyle="1" w:styleId="TableCaption" w:type="paragraph">
    <w:name w:val="Table Caption"/>
    <w:basedOn w:val="Caption"/>
    <w:qFormat/>
    <w:pPr>
      <w:keepNext/>
      <w:spacing w:after="80" w:before="200"/>
      <w:jc w:val="center"/>
    </w:pPr>
  </w:style>
  <w:style w:customStyle="1" w:styleId="ImageCaption" w:type="paragraph">
    <w:name w:val="Image Caption"/>
    <w:basedOn w:val="Caption"/>
    <w:qFormat/>
  </w:style>
  <w:style w:customStyle="1" w:styleId="Figure" w:type="paragraph">
    <w:name w:val="Figure"/>
    <w:basedOn w:val="Normal"/>
    <w:qFormat/>
    <w:pPr>
      <w:spacing w:after="60" w:before="120" w:line="240" w:lineRule="auto"/>
      <w:ind w:firstLine="0" w:firstLineChars="0"/>
      <w:jc w:val="center"/>
    </w:pPr>
  </w:style>
  <w:style w:customStyle="1" w:styleId="CaptionedFigure" w:type="paragraph">
    <w:name w:val="Captioned Figure"/>
    <w:basedOn w:val="Figure"/>
    <w:qFormat/>
    <w:pPr>
      <w:keepNext/>
    </w:pPr>
  </w:style>
  <w:style w:customStyle="1" w:styleId="BodyTextChar" w:type="character">
    <w:name w:val="Body Text Char"/>
    <w:rPr/>
  </w:style>
  <w:style w:customStyle="1" w:styleId="VerbatimChar" w:type="character">
    <w:name w:val="Verbatim Char"/>
    <w:rPr>
      <w:rFonts w:ascii="Consolas" w:cs="Consolas" w:eastAsia="黑体" w:hAnsi="Consolas" w:hint="eastAsia"/>
      <w:sz w:val="20"/>
      <w:shd w:color="auto" w:fill="F6F8FA" w:val="clear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rPr>
      <w:color w:val="2E75B6"/>
      <w:u w:val="single"/>
    </w:rPr>
  </w:style>
  <w:style w:styleId="TOCHeading" w:type="paragraph">
    <w:name w:val="TOC Heading"/>
    <w:basedOn w:val="Heading1"/>
    <w:next w:val="BodyText"/>
    <w:qFormat/>
    <w:pPr>
      <w:pBdr/>
      <w:jc w:val="center"/>
      <w:outlineLvl w:val="9"/>
    </w:pPr>
  </w:style>
  <w:style w:customStyle="1" w:styleId="DFTableText" w:type="paragraph">
    <w:name w:val="Table Text"/>
    <w:basedOn w:val="Compact"/>
    <w:qFormat/>
    <w:pPr>
      <w:spacing w:after="20" w:before="20" w:line="348" w:lineRule="atLeast"/>
    </w:pPr>
    <w:rPr>
      <w:sz w:val="20"/>
      <w:szCs w:val="20"/>
    </w:rPr>
  </w:style>
  <w:style w:customStyle="1" w:styleId="SourceCode" w:type="paragraph">
    <w:name w:val="Source Code"/>
    <w:basedOn w:val="Normal"/>
    <w:qFormat/>
    <w:pPr>
      <w:pBdr>
        <w:top w:color="C9D1DB" w:space="4" w:sz="4" w:val="single"/>
        <w:left w:color="C9D1DB" w:space="4" w:sz="4" w:val="single"/>
        <w:bottom w:color="C9D1DB" w:space="4" w:sz="4" w:val="single"/>
        <w:right w:color="C9D1DB" w:space="4" w:sz="4" w:val="single"/>
      </w:pBdr>
      <w:shd w:color="auto" w:fill="F6F8FA" w:val="clear"/>
      <w:wordWrap w:val="0"/>
      <w:spacing w:after="120" w:before="120" w:line="260" w:lineRule="auto"/>
      <w:jc w:val="left"/>
    </w:pPr>
    <w:rPr>
      <w:rFonts w:ascii="Consolas" w:cs="Consolas" w:eastAsia="黑体" w:hAnsi="Consolas" w:hint="eastAsia"/>
      <w:sz w:val="19"/>
    </w:rPr>
  </w:style>
  <w:style w:customStyle="1" w:styleId="DFEquation" w:type="paragraph">
    <w:name w:val="DF Equation"/>
    <w:basedOn w:val="Normal"/>
    <w:qFormat/>
    <w:pPr>
      <w:keepLines/>
      <w:tabs>
        <w:tab w:pos="4535" w:val="center"/>
        <w:tab w:pos="9071" w:val="right"/>
      </w:tabs>
      <w:spacing w:after="120" w:before="120" w:line="240" w:lineRule="auto"/>
      <w:ind w:firstLine="0" w:firstLineChars="0"/>
      <w:jc w:val="left"/>
    </w:pPr>
  </w:style>
  <w:style w:styleId="TOC1" w:type="paragraph">
    <w:name w:val="toc 1"/>
    <w:basedOn w:val="Normal"/>
    <w:next w:val="BodyText"/>
    <w:qFormat/>
    <w:pPr>
      <w:spacing w:after="40" w:before="40"/>
      <w:ind w:left="0"/>
    </w:pPr>
    <w:rPr>
      <w:b/>
    </w:rPr>
  </w:style>
  <w:style w:styleId="TOC2" w:type="paragraph">
    <w:name w:val="toc 2"/>
    <w:basedOn w:val="Normal"/>
    <w:next w:val="BodyText"/>
    <w:qFormat/>
    <w:pPr>
      <w:spacing w:after="40" w:before="40"/>
      <w:ind w:left="420"/>
    </w:pPr>
  </w:style>
  <w:style w:styleId="TOC3" w:type="paragraph">
    <w:name w:val="toc 3"/>
    <w:basedOn w:val="Normal"/>
    <w:next w:val="BodyText"/>
    <w:qFormat/>
    <w:pPr>
      <w:spacing w:after="40" w:before="40"/>
      <w:ind w:left="840"/>
    </w:pPr>
  </w:style>
  <w:style w:type="paragraph" w:customStyle="1" w:styleId="DFPara1">
    <w:name w:val="DF Para 1"/>
    <w:basedOn w:val="BodyText"/>
    <w:qFormat/>
    <w:pPr>
      <w:pBdr>
        <w:left w:val="single" w:sz="24" w:space="10" w:color="1565C0"/>
      </w:pBdr>
      <w:shd w:val="clear" w:color="auto" w:fill="EFF4FB"/>
      <w:spacing w:before="0" w:after="0" w:line="348" w:lineRule="auto"/>
      <w:ind w:left="240" w:right="120" w:firstLine="0" w:firstLineChars="0"/>
    </w:pPr>
  </w:style>
  <w:style w:type="paragraph" w:customStyle="1" w:styleId="DFPara2">
    <w:name w:val="DF Para 2"/>
    <w:basedOn w:val="BodyText"/>
    <w:qFormat/>
    <w:pPr>
      <w:keepNext/>
      <w:pBdr>
        <w:left w:val="single" w:sz="24" w:space="10" w:color="1565C0"/>
      </w:pBdr>
      <w:shd w:val="clear" w:color="auto" w:fill="EFF4FB"/>
      <w:spacing w:before="160" w:after="0"/>
      <w:ind w:left="240" w:right="120" w:firstLine="0" w:firstLineChars="0"/>
      <w:jc w:val="left"/>
    </w:pPr>
    <w:rPr>
      <w:rFonts w:ascii="Arial" w:hAnsi="Arial" w:eastAsia="黑体" w:cs="Arial" w:hint="eastAsia"/>
      <w:b/>
      <w:color w:val="1565C0"/>
    </w:rPr>
  </w:style>
  <w:style w:type="character" w:customStyle="1" w:styleId="DFChar3">
    <w:name w:val="DF Char 3"/>
    <w:rPr>
      <w:color w:val="2E7D32"/>
    </w:rPr>
  </w:style>
  <w:style w:type="character" w:customStyle="1" w:styleId="KeywordTok">
    <w:name w:val="KeywordTok"/>
    <w:basedOn w:val="VerbatimChar"/>
    <w:rPr>
      <w:b/>
      <w:color w:val="204a87"/>
      <w:shd w:val="clear" w:fill="f8f8f8"/>
    </w:rPr>
  </w:style>
  <w:style w:type="character" w:customStyle="1" w:styleId="DataTypeTok">
    <w:name w:val="DataTypeTok"/>
    <w:basedOn w:val="VerbatimChar"/>
    <w:rPr>
      <w:color w:val="204a87"/>
      <w:shd w:val="clear" w:fill="f8f8f8"/>
    </w:rPr>
  </w:style>
  <w:style w:type="character" w:customStyle="1" w:styleId="DecValTok">
    <w:name w:val="DecValTok"/>
    <w:basedOn w:val="VerbatimChar"/>
    <w:rPr>
      <w:color w:val="0000cf"/>
      <w:shd w:val="clear" w:fill="f8f8f8"/>
    </w:rPr>
  </w:style>
  <w:style w:type="character" w:customStyle="1" w:styleId="BaseNTok">
    <w:name w:val="BaseNTok"/>
    <w:basedOn w:val="VerbatimChar"/>
    <w:rPr>
      <w:color w:val="0000cf"/>
      <w:shd w:val="clear" w:fill="f8f8f8"/>
    </w:rPr>
  </w:style>
  <w:style w:type="character" w:customStyle="1" w:styleId="FloatTok">
    <w:name w:val="FloatTok"/>
    <w:basedOn w:val="VerbatimChar"/>
    <w:rPr>
      <w:color w:val="0000cf"/>
      <w:shd w:val="clear" w:fill="f8f8f8"/>
    </w:rPr>
  </w:style>
  <w:style w:type="character" w:customStyle="1" w:styleId="ConstantTok">
    <w:name w:val="ConstantTok"/>
    <w:basedOn w:val="VerbatimChar"/>
    <w:rPr>
      <w:color w:val="8f5902"/>
      <w:shd w:val="clear" w:fill="f8f8f8"/>
    </w:rPr>
  </w:style>
  <w:style w:type="character" w:customStyle="1" w:styleId="CharTok">
    <w:name w:val="CharTok"/>
    <w:basedOn w:val="VerbatimChar"/>
    <w:rPr>
      <w:color w:val="4e9a06"/>
      <w:shd w:val="clear" w:fill="f8f8f8"/>
    </w:rPr>
  </w:style>
  <w:style w:type="character" w:customStyle="1" w:styleId="SpecialCharTok">
    <w:name w:val="SpecialCharTok"/>
    <w:basedOn w:val="VerbatimChar"/>
    <w:rPr>
      <w:b/>
      <w:color w:val="ce5c00"/>
      <w:shd w:val="clear" w:fill="f8f8f8"/>
    </w:rPr>
  </w:style>
  <w:style w:type="character" w:customStyle="1" w:styleId="StringTok">
    <w:name w:val="StringTok"/>
    <w:basedOn w:val="VerbatimChar"/>
    <w:rPr>
      <w:color w:val="4e9a06"/>
      <w:shd w:val="clear" w:fill="f8f8f8"/>
    </w:rPr>
  </w:style>
  <w:style w:type="character" w:customStyle="1" w:styleId="VerbatimStringTok">
    <w:name w:val="VerbatimStringTok"/>
    <w:basedOn w:val="VerbatimChar"/>
    <w:rPr>
      <w:color w:val="4e9a06"/>
      <w:shd w:val="clear" w:fill="f8f8f8"/>
    </w:rPr>
  </w:style>
  <w:style w:type="character" w:customStyle="1" w:styleId="SpecialStringTok">
    <w:name w:val="SpecialStringTok"/>
    <w:basedOn w:val="VerbatimChar"/>
    <w:rPr>
      <w:color w:val="4e9a06"/>
      <w:shd w:val="clear" w:fill="f8f8f8"/>
    </w:rPr>
  </w:style>
  <w:style w:type="character" w:customStyle="1" w:styleId="ImportTok">
    <w:name w:val="ImportTok"/>
    <w:basedOn w:val="VerbatimChar"/>
    <w:rPr>
      <w:shd w:val="clear" w:fill="f8f8f8"/>
    </w:rPr>
  </w:style>
  <w:style w:type="character" w:customStyle="1" w:styleId="CommentTok">
    <w:name w:val="CommentTok"/>
    <w:basedOn w:val="VerbatimChar"/>
    <w:rPr>
      <w:i/>
      <w:color w:val="8f5902"/>
      <w:shd w:val="clear" w:fill="f8f8f8"/>
    </w:rPr>
  </w:style>
  <w:style w:type="character" w:customStyle="1" w:styleId="DocumentationTok">
    <w:name w:val="DocumentationTok"/>
    <w:basedOn w:val="VerbatimChar"/>
    <w:rPr>
      <w:b/>
      <w:i/>
      <w:color w:val="8f5902"/>
      <w:shd w:val="clear" w:fill="f8f8f8"/>
    </w:rPr>
  </w:style>
  <w:style w:type="character" w:customStyle="1" w:styleId="AnnotationTok">
    <w:name w:val="AnnotationTok"/>
    <w:basedOn w:val="VerbatimChar"/>
    <w:rPr>
      <w:b/>
      <w:i/>
      <w:color w:val="8f5902"/>
      <w:shd w:val="clear" w:fill="f8f8f8"/>
    </w:rPr>
  </w:style>
  <w:style w:type="character" w:customStyle="1" w:styleId="CommentVarTok">
    <w:name w:val="CommentVarTok"/>
    <w:basedOn w:val="VerbatimChar"/>
    <w:rPr>
      <w:b/>
      <w:i/>
      <w:color w:val="8f5902"/>
      <w:shd w:val="clear" w:fill="f8f8f8"/>
    </w:rPr>
  </w:style>
  <w:style w:type="character" w:customStyle="1" w:styleId="OtherTok">
    <w:name w:val="OtherTok"/>
    <w:basedOn w:val="VerbatimChar"/>
    <w:rPr>
      <w:color w:val="8f5902"/>
      <w:shd w:val="clear" w:fill="f8f8f8"/>
    </w:rPr>
  </w:style>
  <w:style w:type="character" w:customStyle="1" w:styleId="FunctionTok">
    <w:name w:val="FunctionTok"/>
    <w:basedOn w:val="VerbatimChar"/>
    <w:rPr>
      <w:b/>
      <w:color w:val="204a87"/>
      <w:shd w:val="clear" w:fill="f8f8f8"/>
    </w:rPr>
  </w:style>
  <w:style w:type="character" w:customStyle="1" w:styleId="VariableTok">
    <w:name w:val="VariableTok"/>
    <w:basedOn w:val="VerbatimChar"/>
    <w:rPr>
      <w:color w:val="000000"/>
      <w:shd w:val="clear" w:fill="f8f8f8"/>
    </w:rPr>
  </w:style>
  <w:style w:type="character" w:customStyle="1" w:styleId="ControlFlowTok">
    <w:name w:val="ControlFlowTok"/>
    <w:basedOn w:val="VerbatimChar"/>
    <w:rPr>
      <w:b/>
      <w:color w:val="204a87"/>
      <w:shd w:val="clear" w:fill="f8f8f8"/>
    </w:rPr>
  </w:style>
  <w:style w:type="character" w:customStyle="1" w:styleId="OperatorTok">
    <w:name w:val="OperatorTok"/>
    <w:basedOn w:val="VerbatimChar"/>
    <w:rPr>
      <w:b/>
      <w:color w:val="ce5c00"/>
      <w:shd w:val="clear" w:fill="f8f8f8"/>
    </w:rPr>
  </w:style>
  <w:style w:type="character" w:customStyle="1" w:styleId="BuiltInTok">
    <w:name w:val="BuiltInTok"/>
    <w:basedOn w:val="VerbatimChar"/>
    <w:rPr>
      <w:shd w:val="clear" w:fill="f8f8f8"/>
    </w:rPr>
  </w:style>
  <w:style w:type="character" w:customStyle="1" w:styleId="ExtensionTok">
    <w:name w:val="ExtensionTok"/>
    <w:basedOn w:val="VerbatimChar"/>
    <w:rPr>
      <w:shd w:val="clear" w:fill="f8f8f8"/>
    </w:rPr>
  </w:style>
  <w:style w:type="character" w:customStyle="1" w:styleId="PreprocessorTok">
    <w:name w:val="PreprocessorTok"/>
    <w:basedOn w:val="VerbatimChar"/>
    <w:rPr>
      <w:i/>
      <w:color w:val="8f5902"/>
      <w:shd w:val="clear" w:fill="f8f8f8"/>
    </w:rPr>
  </w:style>
  <w:style w:type="character" w:customStyle="1" w:styleId="AttributeTok">
    <w:name w:val="AttributeTok"/>
    <w:basedOn w:val="VerbatimChar"/>
    <w:rPr>
      <w:color w:val="204a87"/>
      <w:shd w:val="clear" w:fill="f8f8f8"/>
    </w:rPr>
  </w:style>
  <w:style w:type="character" w:customStyle="1" w:styleId="RegionMarkerTok">
    <w:name w:val="RegionMarkerTok"/>
    <w:basedOn w:val="VerbatimChar"/>
    <w:rPr>
      <w:shd w:val="clear" w:fill="f8f8f8"/>
    </w:rPr>
  </w:style>
  <w:style w:type="character" w:customStyle="1" w:styleId="InformationTok">
    <w:name w:val="InformationTok"/>
    <w:basedOn w:val="VerbatimChar"/>
    <w:rPr>
      <w:b/>
      <w:i/>
      <w:color w:val="8f5902"/>
      <w:shd w:val="clear" w:fill="f8f8f8"/>
    </w:rPr>
  </w:style>
  <w:style w:type="character" w:customStyle="1" w:styleId="WarningTok">
    <w:name w:val="WarningTok"/>
    <w:basedOn w:val="VerbatimChar"/>
    <w:rPr>
      <w:b/>
      <w:i/>
      <w:color w:val="8f5902"/>
      <w:shd w:val="clear" w:fill="f8f8f8"/>
    </w:rPr>
  </w:style>
  <w:style w:type="character" w:customStyle="1" w:styleId="AlertTok">
    <w:name w:val="AlertTok"/>
    <w:basedOn w:val="VerbatimChar"/>
    <w:rPr>
      <w:color w:val="ef2929"/>
      <w:shd w:val="clear" w:fill="f8f8f8"/>
    </w:rPr>
  </w:style>
  <w:style w:type="character" w:customStyle="1" w:styleId="ErrorTok">
    <w:name w:val="ErrorTok"/>
    <w:basedOn w:val="VerbatimChar"/>
    <w:rPr>
      <w:b/>
      <w:color w:val="a40000"/>
      <w:shd w:val="clear" w:fill="f8f8f8"/>
    </w:rPr>
  </w:style>
  <w:style w:type="character" w:customStyle="1" w:styleId="NormalTok">
    <w:name w:val="NormalTok"/>
    <w:basedOn w:val="VerbatimChar"/>
    <w:rPr>
      <w:shd w:val="clear" w:fill="f8f8f8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DfFooter1" Target="footer1.xml" Type="http://schemas.openxmlformats.org/officeDocument/2006/relationships/footer" /><Relationship Type="http://schemas.openxmlformats.org/officeDocument/2006/relationships/image" Id="rId11" Target="media/rId11.png" /><Relationship Type="http://schemas.openxmlformats.org/officeDocument/2006/relationships/header" Id="rIdDfHeader1" Target="header1.xml"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 panose="02110004020202020204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Times New Roman" panose="02110004020202020204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actividad del tercer trimestre de 2026</dc:title>
  <dc:creator>Dirección de Operaciones</dc:creator>
  <dc:language>es-ES</dc:language>
  <cp:keywords/>
  <dcterms:created xsi:type="dcterms:W3CDTF">2026-10-27T10:31:29Z</dcterms:created>
  <dcterms:modified xsi:type="dcterms:W3CDTF">2026-10-27T10:31:29Z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bstract-title">
    <vt:lpwstr>Resumen</vt:lpwstr>
  </property>
  <property fmtid="{D5CDD505-2E9C-101B-9397-08002B2CF9AE}" pid="3" name="date">
    <vt:lpwstr>15 de octubre de 2026</vt:lpwstr>
  </property>
  <property fmtid="{D5CDD505-2E9C-101B-9397-08002B2CF9AE}" pid="4" name="subtitle">
    <vt:lpwstr>Región Este · Informe trimestral</vt:lpwstr>
  </property>
</Properties>
</file>