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es-ES"/>
        </w:rPr>
        <w:t xml:space="preserve">Variación espacial del precio de la vivienda y sus determinantes</w:t>
      </w:r>
    </w:p>
    <w:p>
      <w:pPr>
        <w:pStyle w:val="Author"/>
      </w:pPr>
      <w:r>
        <w:rPr>
          <w:lang w:val="es-ES"/>
        </w:rPr>
        <w:t xml:space="preserve">Ming Wang, Hua Li</w:t>
      </w:r>
    </w:p>
    <w:p>
      <w:pPr>
        <w:pStyle w:val="Date"/>
      </w:pPr>
      <w:r>
        <w:rPr>
          <w:lang w:val="es-ES"/>
        </w:rPr>
        <w:t xml:space="preserve">Septiembre de 2026</w:t>
      </w:r>
    </w:p>
    <w:p>
      <w:pPr>
        <w:pStyle w:val="AbstractTitle"/>
      </w:pPr>
      <w:r>
        <w:t xml:space="preserve">Resumen</w:t>
      </w:r>
    </w:p>
    <w:p>
      <w:pPr>
        <w:pStyle w:val="Abstract"/>
      </w:pPr>
      <w:r>
        <w:rPr>
          <w:lang w:val="es-ES"/>
        </w:rPr>
        <w:t xml:space="preserve">Con datos de compraventas de 36 ciudades entre 2020 y 2025, estimamos un modelo de precios hedónicos que incluye la ubicación, los equipamientos y la antigüedad del edificio. Un aumento de una desviación típica en la accesibilidad al transporte ferroviario eleva el precio unitario en torno a un 6,8 %.</w:t>
      </w:r>
    </w:p>
    <w:p>
      <w:pPr>
        <w:pStyle w:val="Heading1"/>
      </w:pPr>
      <w:bookmarkStart w:id="9" w:name="introducci_n"/>
      <w:r>
        <w:rPr>
          <w:rStyle w:val="SectionNumber"/>
          <w:lang w:val="es-ES"/>
        </w:rPr>
        <w:t xml:space="preserve">1</w:t>
      </w:r>
      <w:r>
        <w:tab/>
      </w:r>
      <w:r>
        <w:rPr>
          <w:lang w:val="es-ES"/>
        </w:rPr>
        <w:t xml:space="preserve">Introducción</w:t>
      </w:r>
      <w:bookmarkEnd w:id="9"/>
    </w:p>
    <w:p>
      <w:pPr>
        <w:pStyle w:val="FirstParagraph"/>
      </w:pPr>
      <w:r>
        <w:rPr>
          <w:lang w:val="es-ES"/>
        </w:rPr>
        <w:t xml:space="preserve">Las diferencias espaciales en el precio de la vivienda son una cuestión central de la economía urbana. La mayoría de los estudios emplean precios hedónicos</w:t>
      </w:r>
      <w:r>
        <w:rPr>
          <w:vertAlign w:val="superscript"/>
          <w:lang w:val="es-ES"/>
        </w:rPr>
        <w:t xml:space="preserve">[</w:t>
      </w:r>
      <w:hyperlink w:anchor="ref_smith2021">
        <w:r>
          <w:rPr>
            <w:rStyle w:val="Hyperlink"/>
            <w:vertAlign w:val="superscript"/>
            <w:lang w:val="es-ES"/>
          </w:rPr>
          <w:t xml:space="preserve">1</w:t>
        </w:r>
      </w:hyperlink>
      <w:r>
        <w:rPr>
          <w:vertAlign w:val="superscript"/>
          <w:lang w:val="es-ES"/>
        </w:rPr>
        <w:t xml:space="preserve">]</w:t>
      </w:r>
      <w:r>
        <w:rPr>
          <w:lang w:val="es-ES"/>
        </w:rPr>
        <w:t xml:space="preserve">; otros analizan los coeficientes de ajuste del método de comparación</w:t>
      </w:r>
      <w:r>
        <w:rPr>
          <w:vertAlign w:val="superscript"/>
          <w:lang w:val="es-ES"/>
        </w:rPr>
        <w:t xml:space="preserve">[</w:t>
      </w:r>
      <w:hyperlink w:anchor="ref_zhang2024">
        <w:r>
          <w:rPr>
            <w:rStyle w:val="Hyperlink"/>
            <w:vertAlign w:val="superscript"/>
            <w:lang w:val="es-ES"/>
          </w:rPr>
          <w:t xml:space="preserve">2</w:t>
        </w:r>
      </w:hyperlink>
      <w:r>
        <w:rPr>
          <w:vertAlign w:val="superscript"/>
          <w:lang w:val="es-ES"/>
        </w:rPr>
        <w:t xml:space="preserve">]</w:t>
      </w:r>
      <w:r>
        <w:rPr>
          <w:lang w:val="es-ES"/>
        </w:rPr>
        <w:t xml:space="preserve">.</w:t>
      </w:r>
    </w:p>
    <w:p>
      <w:pPr>
        <w:pStyle w:val="Heading1"/>
      </w:pPr>
      <w:bookmarkStart w:id="11" w:name="modelo"/>
      <w:r>
        <w:rPr>
          <w:rStyle w:val="SectionNumber"/>
          <w:lang w:val="es-ES"/>
        </w:rPr>
        <w:t xml:space="preserve">2</w:t>
      </w:r>
      <w:r>
        <w:tab/>
      </w:r>
      <w:r>
        <w:rPr>
          <w:lang w:val="es-ES"/>
        </w:rPr>
        <w:t xml:space="preserve">Modelo</w:t>
      </w:r>
      <w:bookmarkEnd w:id="11"/>
    </w:p>
    <w:p>
      <w:pPr>
        <w:pStyle w:val="FirstParagraph"/>
      </w:pPr>
      <w:r>
        <w:rPr>
          <w:lang w:val="es-ES"/>
        </w:rPr>
        <w:t xml:space="preserve">Sea</w:t>
      </w:r>
      <w:r>
        <w:rPr>
          <w:lang w:val="es-ES"/>
        </w:rP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</m:oMath>
      <w:r>
        <w:rPr>
          <w:lang w:val="es-ES"/>
        </w:rPr>
        <w:t xml:space="preserve"> </w:t>
      </w:r>
      <w:r>
        <w:rPr>
          <w:lang w:val="es-ES"/>
        </w:rPr>
        <w:t xml:space="preserve">el precio de la vivienda</w:t>
      </w:r>
      <w:r>
        <w:rPr>
          <w:lang w:val="es-ES"/>
        </w:rPr>
        <w:t xml:space="preserve"> </w:t>
      </w:r>
      <m:oMath>
        <m:r>
          <m:t>i</m:t>
        </m:r>
      </m:oMath>
      <w:r>
        <w:rPr>
          <w:lang w:val="es-ES"/>
        </w:rPr>
        <w:t xml:space="preserve"> </w:t>
      </w:r>
      <w:r>
        <w:rPr>
          <w:lang w:val="es-ES"/>
        </w:rPr>
        <w:t xml:space="preserve">y</w:t>
      </w:r>
      <w:r>
        <w:rPr>
          <w:lang w:val="es-ES"/>
        </w:rPr>
        <w:t xml:space="preserve"> </w:t>
      </w:r>
      <m:oMath>
        <m:sSub>
          <m:e>
            <m:r>
              <m:rPr>
                <m:sty m:val="bi"/>
              </m:rPr>
              <m:t>x</m:t>
            </m:r>
          </m:e>
          <m:sub>
            <m:r>
              <m:t>i</m:t>
            </m:r>
          </m:sub>
        </m:sSub>
      </m:oMath>
      <w:r>
        <w:rPr>
          <w:lang w:val="es-ES"/>
        </w:rPr>
        <w:t xml:space="preserve"> </w:t>
      </w:r>
      <w:r>
        <w:rPr>
          <w:lang w:val="es-ES"/>
        </w:rPr>
        <w:t xml:space="preserve">el vector de sus características. Utilizamos la forma semilogarítmica</w:t>
      </w:r>
    </w:p>
    <w:p>
      <w:pPr>
        <w:pStyle w:val="DFEquation"/>
      </w:pPr>
      <w:r>
        <w:tab/>
      </w:r>
      <m:oMath>
        <m:r>
          <m:rPr>
            <m:sty m:val="p"/>
          </m:rPr>
          <m:t>ln</m:t>
        </m:r>
        <m:sSub>
          <m:e>
            <m:r>
              <m:t>P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K</m:t>
            </m:r>
          </m:sup>
          <m:e>
            <m:sSub>
              <m:e>
                <m:r>
                  <m:t>β</m:t>
                </m:r>
              </m:e>
              <m:sub>
                <m:r>
                  <m:t>k</m:t>
                </m:r>
              </m:sub>
            </m:sSub>
          </m:e>
        </m:nary>
        <m:sSub>
          <m:e>
            <m:r>
              <m:t>x</m:t>
            </m:r>
          </m:e>
          <m:sub>
            <m:r>
              <m:t>i</m:t>
            </m:r>
            <m:r>
              <m:t>k</m:t>
            </m:r>
          </m:sub>
        </m:sSub>
        <m:r>
          <m:rPr>
            <m:sty m:val="p"/>
          </m:rPr>
          <m:t>+</m:t>
        </m:r>
        <m:sSub>
          <m:e>
            <m:r>
              <m:t>ε</m:t>
            </m:r>
          </m:e>
          <m:sub>
            <m:r>
              <m:t>i</m:t>
            </m:r>
          </m:sub>
        </m:sSub>
      </m:oMath>
      <w:r>
        <w:tab/>
      </w:r>
      <w:bookmarkStart w:id="10" w:name="eq_hedonic"/>
      <w:r>
        <w:rPr>
          <w:lang w:val="es-ES"/>
        </w:rPr>
        <w:t xml:space="preserve">(1)</w:t>
      </w:r>
      <w:bookmarkEnd w:id="10"/>
    </w:p>
    <w:p>
      <w:pPr>
        <w:pStyle w:val="BodyText"/>
      </w:pPr>
      <w:r>
        <w:rPr>
          <w:lang w:val="es-ES"/>
        </w:rPr>
        <w:t xml:space="preserve">donde</w:t>
      </w:r>
      <w:r>
        <w:rPr>
          <w:lang w:val="es-ES"/>
        </w:rPr>
        <w:t xml:space="preserve"> </w:t>
      </w:r>
      <m:oMath>
        <m:sSub>
          <m:e>
            <m:r>
              <m:t>β</m:t>
            </m:r>
          </m:e>
          <m:sub>
            <m:r>
              <m:t>k</m:t>
            </m:r>
          </m:sub>
        </m:sSub>
      </m:oMath>
      <w:r>
        <w:rPr>
          <w:lang w:val="es-ES"/>
        </w:rPr>
        <w:t xml:space="preserve"> </w:t>
      </w:r>
      <w:r>
        <w:rPr>
          <w:lang w:val="es-ES"/>
        </w:rPr>
        <w:t xml:space="preserve">en la</w:t>
      </w:r>
      <w:r>
        <w:rPr>
          <w:lang w:val="es-ES"/>
        </w:rPr>
        <w:t xml:space="preserve"> </w:t>
      </w:r>
      <w:hyperlink w:anchor="eq_hedonic">
        <w:r>
          <w:rPr>
            <w:rStyle w:val="Hyperlink"/>
            <w:lang w:val="es-ES"/>
          </w:rPr>
          <w:t xml:space="preserve">Ec. (1)</w:t>
        </w:r>
      </w:hyperlink>
      <w:r>
        <w:rPr>
          <w:lang w:val="es-ES"/>
        </w:rPr>
        <w:t xml:space="preserve"> </w:t>
      </w:r>
      <w:r>
        <w:rPr>
          <w:lang w:val="es-ES"/>
        </w:rPr>
        <w:t xml:space="preserve">es el efecto marginal de la característica</w:t>
      </w:r>
      <w:r>
        <w:rPr>
          <w:lang w:val="es-ES"/>
        </w:rPr>
        <w:t xml:space="preserve"> </w:t>
      </w:r>
      <m:oMath>
        <m:r>
          <m:t>k</m:t>
        </m:r>
      </m:oMath>
      <w:r>
        <w:rPr>
          <w:lang w:val="es-ES"/>
        </w:rPr>
        <w:t xml:space="preserve">.</w:t>
      </w:r>
    </w:p>
    <w:p>
      <w:pPr>
        <w:pStyle w:val="Heading1"/>
      </w:pPr>
      <w:bookmarkStart w:id="14" w:name="resultados"/>
      <w:r>
        <w:rPr>
          <w:rStyle w:val="SectionNumber"/>
          <w:lang w:val="es-ES"/>
        </w:rPr>
        <w:t xml:space="preserve">3</w:t>
      </w:r>
      <w:r>
        <w:tab/>
      </w:r>
      <w:r>
        <w:rPr>
          <w:lang w:val="es-ES"/>
        </w:rPr>
        <w:t xml:space="preserve">Resultados</w:t>
      </w:r>
      <w:bookmarkEnd w:id="14"/>
    </w:p>
    <w:p>
      <w:pPr>
        <w:pStyle w:val="TableCaption"/>
      </w:pPr>
      <w:bookmarkStart w:id="13" w:name="tbl_est"/>
      <w:bookmarkStart w:id="12" w:name="tbl_est"/>
      <w:r>
        <w:rPr>
          <w:lang w:val="es-ES"/>
        </w:rPr>
        <w:t xml:space="preserve">Tabla </w:t>
      </w:r>
      <w:fldSimple w:instr="SEQ Table \* ARABIC ">
        <w:r>
          <w:t>1</w:t>
        </w:r>
      </w:fldSimple>
      <w:bookmarkEnd w:id="12"/>
      <w:r>
        <w:rPr>
          <w:lang w:val="es-ES"/>
        </w:rPr>
        <w:t xml:space="preserve">. Estimación del modelo hedónico</w:t>
      </w:r>
      <w:bookmarkEnd w:id="13"/>
    </w:p>
    <w:tbl>
      <w:tblPr>
        <w:tblStyle w:val="Table"/>
        <w:tblW w:type="dxa" w:w="5798"/>
        <w:jc w:val="center"/>
        <w:tblBorders>
          <w:top w:val="single" w:sz="12" w:space="0" w:color="000000"/>
          <w:left w:val="nil" w:sz="0" w:space="0" w:color="auto"/>
          <w:bottom w:val="single" w:sz="12" w:space="0" w:color="000000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Estimación del modelo hedónico"/>
      </w:tblPr>
      <w:tblGrid>
        <w:gridCol w:w="3123"/>
        <w:gridCol w:w="1003"/>
        <w:gridCol w:w="892"/>
        <w:gridCol w:w="780"/>
      </w:tblGrid>
      <w:tr>
        <w:trPr>
          <w:cantSplit/>
          <w:tblHeader w:val="on"/>
        </w:trPr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000000"/>
                <w:lang w:val="es-ES"/>
              </w:rPr>
              <w:t xml:space="preserve">Variable</w:t>
            </w:r>
          </w:p>
        </w:tc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000000"/>
                <w:lang w:val="es-ES"/>
              </w:rPr>
              <w:t xml:space="preserve">Coef.</w:t>
            </w:r>
          </w:p>
        </w:tc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000000"/>
                <w:lang w:val="es-ES"/>
              </w:rPr>
              <w:t xml:space="preserve">E. E.</w:t>
            </w:r>
          </w:p>
        </w:tc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  <w:jc w:val="center"/>
            </w:pPr>
            <w:r>
              <w:rPr>
                <w:b/>
                <w:bCs/>
                <w:color w:val="000000"/>
                <w:lang w:val="es-ES"/>
              </w:rPr>
              <w:t xml:space="preserve">Sig.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s-ES"/>
              </w:rPr>
              <w:t xml:space="preserve">Accesibilidad ferroviaria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s-ES"/>
              </w:rPr>
              <w:t xml:space="preserve">0,068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s-ES"/>
              </w:rPr>
              <w:t xml:space="preserve">0,009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lang w:val="es-ES"/>
              </w:rPr>
              <w:t xml:space="preserve">***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s-ES"/>
              </w:rPr>
              <w:t xml:space="preserve">Calidad escolar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s-ES"/>
              </w:rPr>
              <w:t xml:space="preserve">0,052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s-ES"/>
              </w:rPr>
              <w:t xml:space="preserve">0,011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lang w:val="es-ES"/>
              </w:rPr>
              <w:t xml:space="preserve">***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s-ES"/>
              </w:rPr>
              <w:t xml:space="preserve">Antigüedad (años)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s-ES"/>
              </w:rPr>
              <w:t xml:space="preserve">−0,007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s-ES"/>
              </w:rPr>
              <w:t xml:space="preserve">0,002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lang w:val="es-ES"/>
              </w:rPr>
              <w:t xml:space="preserve">**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s-ES"/>
              </w:rPr>
              <w:t xml:space="preserve">Índice de edificabilidad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s-ES"/>
              </w:rPr>
              <w:t xml:space="preserve">−0,015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s-ES"/>
              </w:rPr>
              <w:t xml:space="preserve">0,006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lang w:val="es-ES"/>
              </w:rPr>
              <w:t xml:space="preserve">*</w:t>
            </w:r>
          </w:p>
        </w:tc>
      </w:tr>
    </w:tbl>
    <w:p>
      <w:pPr>
        <w:pStyle w:val="Heading1"/>
      </w:pPr>
      <w:bookmarkStart w:id="18" w:name="referencias"/>
      <w:r>
        <w:rPr>
          <w:lang w:val="es-ES"/>
        </w:rPr>
        <w:t xml:space="preserve">Referencias</w:t>
      </w:r>
      <w:bookmarkEnd w:id="18"/>
    </w:p>
    <w:p>
      <w:pPr>
        <w:pStyle w:val="Bibliography"/>
      </w:pPr>
      <w:bookmarkStart w:id="15" w:name="ref_smith2021"/>
      <w:bookmarkStart w:id="17" w:name="refs"/>
      <w:r>
        <w:rPr>
          <w:lang w:val="es-ES"/>
        </w:rPr>
        <w:t xml:space="preserve">[1]</w:t>
      </w:r>
      <w:r>
        <w:rPr>
          <w:lang w:val="es-ES"/>
        </w:rPr>
        <w:t xml:space="preserve"> </w:t>
      </w:r>
      <w:r>
        <w:t xml:space="preserve">	</w:t>
      </w:r>
      <w:r>
        <w:rPr>
          <w:lang w:val="es-ES"/>
        </w:rPr>
        <w:t xml:space="preserve">SMITH J, DOE J. Hedonic pricing of residential property[J]. Journal of Real Estate Research, 2021, 43(2): 101-125.</w:t>
      </w:r>
      <w:bookmarkEnd w:id="17"/>
      <w:bookmarkEnd w:id="15"/>
    </w:p>
    <w:p>
      <w:pPr>
        <w:pStyle w:val="Bibliography"/>
      </w:pPr>
      <w:bookmarkStart w:id="16" w:name="ref_zhang2024"/>
      <w:r>
        <w:rPr>
          <w:lang w:val="es-ES"/>
        </w:rPr>
        <w:t xml:space="preserve">[2]</w:t>
      </w:r>
      <w:r>
        <w:rPr>
          <w:lang w:val="es-ES"/>
        </w:rPr>
        <w:t xml:space="preserve"> </w:t>
      </w:r>
      <w:r>
        <w:t xml:space="preserve">	</w:t>
      </w:r>
      <w:r>
        <w:rPr>
          <w:rFonts w:hint="eastAsia"/>
          <w:lang w:val="es-ES"/>
        </w:rPr>
        <w:t xml:space="preserve">张三,</w:t>
      </w:r>
      <w:r>
        <w:rPr>
          <w:lang w:val="es-ES"/>
        </w:rPr>
        <w:t xml:space="preserve"> </w:t>
      </w:r>
      <w:r>
        <w:rPr>
          <w:rFonts w:hint="eastAsia"/>
          <w:lang w:val="es-ES"/>
        </w:rPr>
        <w:t xml:space="preserve">李四.</w:t>
      </w:r>
      <w:r>
        <w:rPr>
          <w:lang w:val="es-ES"/>
        </w:rPr>
        <w:t xml:space="preserve"> </w:t>
      </w:r>
      <w:r>
        <w:rPr>
          <w:rFonts w:hint="eastAsia"/>
          <w:lang w:val="es-ES"/>
        </w:rPr>
        <w:t xml:space="preserve">房地产估价中比较法修正系数的确定方法研究[J].</w:t>
      </w:r>
      <w:r>
        <w:rPr>
          <w:lang w:val="es-ES"/>
        </w:rPr>
        <w:t xml:space="preserve"> </w:t>
      </w:r>
      <w:r>
        <w:rPr>
          <w:rFonts w:hint="eastAsia"/>
          <w:lang w:val="es-ES"/>
        </w:rPr>
        <w:t xml:space="preserve">中国房地产估价与经纪,</w:t>
      </w:r>
      <w:r>
        <w:rPr>
          <w:lang w:val="es-ES"/>
        </w:rPr>
        <w:t xml:space="preserve"> 2024(3): 45-52.</w:t>
      </w:r>
      <w:bookmarkEnd w:id="16"/>
    </w:p>
    <w:sectPr>
      <w:headerReference w:type="default" r:id="rIdDfHeader1"/>
      <w:footerReference r:id="rIdDfFooter1" w:type="default"/>
      <w:footerReference w:type="first" r:id="rIdDfFooter1"/>
      <w:footnotePr>
        <w:numRestart w:val="eachSect"/>
      </w:footnotePr>
      <w:pgSz w:h="16838" w:w="11906"/>
      <w:pgMar w:bottom="1417" w:footer="709" w:gutter="0" w:header="851" w:left="1417" w:right="1417" w:top="1417"/>
      <w:cols w:space="425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/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1A1A1A"/>
      </w:pBdr>
      <w:tabs>
        <w:tab w:val="right" w:pos="9071"/>
      </w:tabs>
      <w:spacing w:after="0"/>
      <w:jc w:val="left"/>
    </w:pPr>
    <w:r>
      <w:rPr>
        <w:color w:val="6B7280"/>
        <w:sz w:val="18"/>
        <w:szCs w:val="18"/>
      </w:rPr>
      <w:t xml:space="preserve">Variación espacial del precio de la vivienda y sus determinantes</w:t>
    </w:r>
    <w:r>
      <w:rPr>
        <w:color w:val="6B7280"/>
        <w:sz w:val="18"/>
        <w:szCs w:val="18"/>
      </w:rPr>
      <w:tab/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 xml:space="preserve"> STYLEREF "heading 1" \* MERGEFORMAT </w:instrText>
    </w:r>
    <w:r>
      <w:rPr>
        <w:color w:val="6B7280"/>
        <w:sz w:val="18"/>
        <w:szCs w:val="18"/>
      </w:rPr>
      <w:fldChar w:fldCharType="separate"/>
    </w:r>
    <w:r>
      <w:rPr>
        <w:color w:val="6B7280"/>
        <w:sz w:val="18"/>
        <w:szCs w:val="18"/>
      </w:rPr>
      <w:t/>
    </w:r>
    <w:r>
      <w:rPr>
        <w:color w:val="6B7280"/>
        <w:sz w:val="18"/>
        <w:szCs w:val="18"/>
      </w:rPr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s-E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宋体" w:hAnsi="Times New Roman" w:hint="eastAsia"/>
        <w:sz w:val="24"/>
        <w:szCs w:val="24"/>
        <w:lang w:bidi="ar-SA" w:eastAsia="zh-CN" w:val="es-E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435" w:lineRule="atLeast"/>
      <w:jc w:val="both"/>
    </w:pPr>
    <w:rPr>
      <w:rFonts w:ascii="Times New Roman" w:cs="Times New Roman" w:eastAsia="宋体" w:hAnsi="Times New Roman" w:hint="eastAsia"/>
      <w:color w:val="222222"/>
      <w:kern w:val="0"/>
      <w:sz w:val="24"/>
      <w:szCs w:val="24"/>
      <w:lang w:eastAsia="zh-CN" w:val="es-E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  <w:ind w:firstLine="420" w:firstLineChars="20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黑体" w:hAnsi="Arial" w:hint="eastAsia"/>
      <w:b/>
      <w:bCs/>
      <w:color w:val="000000"/>
      <w:sz w:val="44"/>
      <w:szCs w:val="44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黑体" w:hAnsi="Arial" w:hint="eastAsia"/>
      <w:color w:val="6B7280"/>
      <w:sz w:val="30"/>
      <w:szCs w:val="3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000000" w:space="8" w:sz="8" w:val="single"/>
      </w:pBdr>
      <w:spacing w:after="240"/>
      <w:jc w:val="center"/>
    </w:pPr>
    <w:rPr>
      <w:color w:val="6B7280"/>
      <w:sz w:val="22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黑体" w:hAnsi="Arial" w:hint="eastAsia"/>
      <w:b/>
      <w:color w:val="000000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3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60" w:before="360" w:line="300" w:lineRule="auto"/>
      <w:ind w:firstLine="0" w:firstLineChars="0"/>
      <w:jc w:val="left"/>
      <w:outlineLvl w:val="0"/>
    </w:pPr>
    <w:rPr>
      <w:rFonts w:ascii="Arial" w:cs="Arial" w:eastAsia="黑体" w:hAnsi="Arial" w:hint="eastAsia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黑体" w:hAnsi="Arial" w:hint="eastAsia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黑体" w:hAnsi="Arial" w:hint="eastAsia"/>
      <w:b/>
      <w:bCs/>
      <w:color w:val="000000"/>
      <w:sz w:val="26"/>
      <w:szCs w:val="26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customStyle="1" w:styleId="Heading1Char" w:type="character">
    <w:name w:val="Heading 1 Char"/>
    <w:rPr>
      <w:rFonts w:ascii="Arial" w:cs="Arial" w:eastAsia="黑体" w:hAnsi="Arial" w:hint="eastAsia"/>
      <w:b/>
      <w:bCs/>
      <w:color w:val="000000"/>
      <w:sz w:val="32"/>
    </w:rPr>
  </w:style>
  <w:style w:customStyle="1" w:styleId="Heading2Char" w:type="character">
    <w:name w:val="Heading 2 Char"/>
    <w:rPr>
      <w:rFonts w:ascii="Arial" w:cs="Arial" w:eastAsia="黑体" w:hAnsi="Arial" w:hint="eastAsia"/>
      <w:b/>
      <w:bCs/>
      <w:color w:val="000000"/>
      <w:sz w:val="28"/>
    </w:rPr>
  </w:style>
  <w:style w:customStyle="1" w:styleId="Heading3Char" w:type="character">
    <w:name w:val="Heading 3 Char"/>
    <w:rPr>
      <w:rFonts w:ascii="Arial" w:cs="Arial" w:eastAsia="黑体" w:hAnsi="Arial" w:hint="eastAsia"/>
      <w:b/>
      <w:bCs/>
      <w:color w:val="000000"/>
      <w:sz w:val="26"/>
    </w:rPr>
  </w:style>
  <w:style w:customStyle="1" w:styleId="Heading4Char" w:type="character">
    <w:name w:val="Heading 4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5Char" w:type="character">
    <w:name w:val="Heading 5 Char"/>
    <w:rPr>
      <w:rFonts w:ascii="Arial" w:cs="Arial" w:eastAsia="黑体" w:hAnsi="Arial" w:hint="eastAsia"/>
      <w:b/>
      <w:bCs/>
      <w:color w:val="222222"/>
      <w:sz w:val="24"/>
    </w:rPr>
  </w:style>
  <w:style w:customStyle="1" w:styleId="Heading6Char" w:type="character">
    <w:name w:val="Heading 6 Char"/>
    <w:rPr>
      <w:rFonts w:ascii="Arial" w:cs="Arial" w:eastAsia="黑体" w:hAnsi="Arial" w:hint="eastAsia"/>
      <w:b/>
      <w:bCs/>
      <w:color w:val="222222"/>
      <w:sz w:val="24"/>
    </w:rPr>
  </w:style>
  <w:style w:customStyle="1" w:styleId="Heading7Char" w:type="character">
    <w:name w:val="Heading 7 Char"/>
    <w:rPr>
      <w:rFonts w:ascii="Arial" w:cs="Arial" w:eastAsia="黑体" w:hAnsi="Arial" w:hint="eastAsia"/>
      <w:b/>
      <w:bCs/>
      <w:color w:val="222222"/>
      <w:sz w:val="24"/>
    </w:rPr>
  </w:style>
  <w:style w:customStyle="1" w:styleId="Heading8Char" w:type="character">
    <w:name w:val="Heading 8 Char"/>
    <w:rPr>
      <w:rFonts w:ascii="Arial" w:cs="Arial" w:eastAsia="黑体" w:hAnsi="Arial" w:hint="eastAsia"/>
      <w:b/>
      <w:bCs/>
      <w:color w:val="222222"/>
      <w:sz w:val="24"/>
    </w:rPr>
  </w:style>
  <w:style w:customStyle="1" w:styleId="Heading9Char" w:type="character">
    <w:name w:val="Heading 9 Char"/>
    <w:rPr>
      <w:rFonts w:ascii="Arial" w:cs="Arial" w:eastAsia="黑体" w:hAnsi="Arial" w:hint="eastAsia"/>
      <w:b/>
      <w:bCs/>
      <w:color w:val="222222"/>
      <w:sz w:val="24"/>
    </w:rPr>
  </w:style>
  <w:style w:styleId="BlockText" w:type="paragraph">
    <w:name w:val="Block Text"/>
    <w:basedOn w:val="BodyText"/>
    <w:next w:val="BodyText"/>
    <w:qFormat/>
    <w:pPr>
      <w:pBdr>
        <w:left w:color="000000" w:space="8" w:sz="18" w:val="single"/>
      </w:pBdr>
      <w:shd w:color="auto" w:fill="E0E0E0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20"/>
      <w:szCs w:val="20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黑体" w:hAnsi="Arial" w:hint="eastAsia"/>
      <w:b/>
      <w:color w:val="000000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6B7280"/>
      <w:sz w:val="21"/>
      <w:szCs w:val="21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黑体" w:hAnsi="Consolas" w:hint="eastAsia"/>
      <w:sz w:val="22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333333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408" w:lineRule="atLeast"/>
    </w:pPr>
    <w:rPr>
      <w:sz w:val="22"/>
      <w:szCs w:val="22"/>
    </w:rPr>
  </w:style>
  <w:style w:customStyle="1" w:styleId="SourceCode" w:type="paragraph">
    <w:name w:val="Source Code"/>
    <w:basedOn w:val="Normal"/>
    <w:qFormat/>
    <w:pPr>
      <w:pBdr>
        <w:top w:color="000000" w:space="4" w:sz="4" w:val="single"/>
        <w:left w:color="000000" w:space="4" w:sz="4" w:val="single"/>
        <w:bottom w:color="000000" w:space="4" w:sz="4" w:val="single"/>
        <w:right w:color="000000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黑体" w:hAnsi="Consolas" w:hint="eastAsia"/>
      <w:sz w:val="21"/>
    </w:rPr>
  </w:style>
  <w:style w:customStyle="1" w:styleId="DFEquation" w:type="paragraph">
    <w:name w:val="DF Equation"/>
    <w:basedOn w:val="Normal"/>
    <w:qFormat/>
    <w:pPr>
      <w:keepLines/>
      <w:tabs>
        <w:tab w:pos="4535" w:val="center"/>
        <w:tab w:pos="907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Relationship Type="http://schemas.openxmlformats.org/officeDocument/2006/relationships/header" Id="rIdDfHeader1" Target="header1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Variación espacial del precio de la vivienda y sus determinantes</dc:title>
  <dc:creator>Ming Wang, Hua Li</dc:creator>
  <dc:language>es-ES</dc:language>
  <cp:keywords/>
  <dcterms:created xsi:type="dcterms:W3CDTF">2026-10-27T10:31:42Z</dcterms:created>
  <dcterms:modified xsi:type="dcterms:W3CDTF">2026-10-27T10:31:42Z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">
    <vt:lpwstr>Con datos de compraventas de 36 ciudades entre 2020 y 2025, estimamos un modelo de precios hedónicos que incluye la ubicación, los equipamientos y la antigüedad del edificio. Un aumento de una desviación típica en la accesibilidad al transporte ferroviario eleva el precio unitario en torno a un 6,8 %.</vt:lpwstr>
  </property>
  <property fmtid="{D5CDD505-2E9C-101B-9397-08002B2CF9AE}" pid="3" name="abstract-title">
    <vt:lpwstr>Resumen</vt:lpwstr>
  </property>
  <property fmtid="{D5CDD505-2E9C-101B-9397-08002B2CF9AE}" pid="4" name="bibliography">
    <vt:lpwstr/>
  </property>
  <property fmtid="{D5CDD505-2E9C-101B-9397-08002B2CF9AE}" pid="5" name="csl">
    <vt:lpwstr>/Users/arthur/business-os/md-to-pdf-word/src/docforge/assets/csl/gb-t-7714-2015-numeric.csl</vt:lpwstr>
  </property>
  <property fmtid="{D5CDD505-2E9C-101B-9397-08002B2CF9AE}" pid="6" name="date">
    <vt:lpwstr>Septiembre de 2026</vt:lpwstr>
  </property>
  <property fmtid="{D5CDD505-2E9C-101B-9397-08002B2CF9AE}" pid="7" name="link-citations">
    <vt:lpwstr>True</vt:lpwstr>
  </property>
</Properties>
</file>