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1.png" ContentType="image/png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Q3 2026 Business Review</w:t>
      </w:r>
    </w:p>
    <w:p>
      <w:pPr>
        <w:pStyle w:val="Subtitle"/>
      </w:pPr>
      <w:r>
        <w:rPr>
          <w:lang w:val="en-US"/>
        </w:rPr>
        <w:t xml:space="preserve">East Region · Quarterly report</w:t>
      </w:r>
    </w:p>
    <w:p>
      <w:pPr>
        <w:pStyle w:val="Author"/>
      </w:pPr>
      <w:r>
        <w:rPr>
          <w:lang w:val="en-US"/>
        </w:rPr>
        <w:t xml:space="preserve">Business Operations</w:t>
      </w:r>
    </w:p>
    <w:p>
      <w:pPr>
        <w:pStyle w:val="Date"/>
      </w:pPr>
      <w:r>
        <w:rPr>
          <w:lang w:val="en-US"/>
        </w:rPr>
        <w:t xml:space="preserve">2026-10-15</w:t>
      </w:r>
    </w:p>
    <w:p>
      <w:pPr>
        <w:pStyle w:val="Heading1"/>
      </w:pPr>
      <w:bookmarkStart w:id="17" w:name="overview"/>
      <w:r>
        <w:rPr>
          <w:lang w:val="en-US"/>
        </w:rPr>
        <w:t xml:space="preserve">Overview</w:t>
      </w:r>
      <w:bookmarkEnd w:id="17"/>
    </w:p>
    <w:p>
      <w:pPr>
        <w:pStyle w:val="FirstParagraph"/>
      </w:pPr>
      <w:r>
        <w:rPr>
          <w:lang w:val="en-US"/>
        </w:rPr>
        <w:t xml:space="preserve">The East Region booked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 xml:space="preserve">USD 68.2 million</w:t>
      </w:r>
      <w:r>
        <w:rPr>
          <w:lang w:val="en-US"/>
        </w:rPr>
        <w:t xml:space="preserve"> </w:t>
      </w:r>
      <w:r>
        <w:rPr>
          <w:lang w:val="en-US"/>
        </w:rPr>
        <w:t xml:space="preserve">in revenue in Q3, up</w:t>
      </w:r>
      <w:r>
        <w:rPr>
          <w:lang w:val="en-US"/>
        </w:rPr>
        <w:t xml:space="preserve"> </w:t>
      </w:r>
      <w:r>
        <w:rPr>
          <w:rStyle w:val="DFChar3"/>
          <w:lang w:val="en-US"/>
        </w:rPr>
        <w:t xml:space="preserve">18.4%</w:t>
      </w:r>
      <w:r>
        <w:rPr>
          <w:lang w:val="en-US"/>
        </w:rPr>
        <w:t xml:space="preserve"> </w:t>
      </w:r>
      <w:r>
        <w:rPr>
          <w:lang w:val="en-US"/>
        </w:rPr>
        <w:t xml:space="preserve">year on year and 6.2% on the previous quarter. Gross margin reached 32.7%, 1.1 points higher than in Q2. We signed 214 new contracts, nine of them above USD 1.4 million.</w:t>
      </w:r>
    </w:p>
    <w:p>
      <w:pPr>
        <w:pStyle w:val="DFPara2"/>
      </w:pPr>
      <w:r>
        <w:rPr>
          <w:b/>
          <w:bCs/>
          <w:lang w:val="en-US"/>
        </w:rPr>
        <w:t xml:space="preserve">Note</w:t>
      </w:r>
    </w:p>
    <w:p>
      <w:pPr>
        <w:pStyle w:val="DFPara1"/>
      </w:pPr>
      <w:r>
        <w:rPr>
          <w:lang w:val="en-US"/>
        </w:rPr>
        <w:t xml:space="preserve">Figures as of September 30, 2026, on the same basis as the annual budget.</w:t>
      </w:r>
    </w:p>
    <w:p>
      <w:pPr>
        <w:pStyle w:val="Heading2"/>
      </w:pPr>
      <w:bookmarkStart w:id="16" w:name="revenue_by_product_line"/>
      <w:r>
        <w:rPr>
          <w:lang w:val="en-US"/>
        </w:rPr>
        <w:t xml:space="preserve">Revenue by product line</w:t>
      </w:r>
      <w:bookmarkEnd w:id="16"/>
    </w:p>
    <w:p>
      <w:pPr>
        <w:pStyle w:val="TableCaption"/>
      </w:pPr>
      <w:bookmarkStart w:id="10" w:name="tbl_rev"/>
      <w:bookmarkStart w:id="9" w:name="tbl_rev"/>
      <w:r>
        <w:rPr>
          <w:lang w:val="en-US"/>
        </w:rPr>
        <w:t xml:space="preserve">Table </w:t>
      </w:r>
      <w:fldSimple w:instr="SEQ Table \* ARABIC ">
        <w:r>
          <w:t>1</w:t>
        </w:r>
      </w:fldSimple>
      <w:bookmarkEnd w:id="9"/>
      <w:r>
        <w:rPr>
          <w:lang w:val="en-US"/>
        </w:rPr>
        <w:t xml:space="preserve">. Q3 revenue by product line</w:t>
      </w:r>
      <w:bookmarkEnd w:id="10"/>
    </w:p>
    <w:tbl>
      <w:tblPr>
        <w:tblStyle w:val="Table"/>
        <w:tblW w:type="dxa" w:w="5785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Q3 revenue by product line"/>
      </w:tblPr>
      <w:tblGrid>
        <w:gridCol w:w="2233"/>
        <w:gridCol w:w="1827"/>
        <w:gridCol w:w="913"/>
        <w:gridCol w:w="812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Product line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Revenue (k USD)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YoY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en-US"/>
              </w:rPr>
              <w:t xml:space="preserve">Share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Enterprise software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30,350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+22.5%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44.5%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Cloud services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21,380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+31.8%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31.4%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Consulting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11,390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−3.6%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16.7%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Hardware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5,080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+4.2%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en-US"/>
              </w:rPr>
              <w:t xml:space="preserve">7.4%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en-US"/>
              </w:rPr>
              <w:t xml:space="preserve">Total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68,200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+18.4%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en-US"/>
              </w:rPr>
              <w:t xml:space="preserve">100%</w:t>
            </w:r>
          </w:p>
        </w:tc>
      </w:tr>
    </w:tbl>
    <w:p>
      <w:pPr>
        <w:pStyle w:val="BodyText"/>
      </w:pPr>
      <w:r>
        <w:rPr>
          <w:lang w:val="en-US"/>
        </w:rPr>
        <w:t xml:space="preserve">Cloud services grew fastest (see</w:t>
      </w:r>
      <w:r>
        <w:rPr>
          <w:lang w:val="en-US"/>
        </w:rPr>
        <w:t xml:space="preserve"> </w:t>
      </w:r>
      <w:hyperlink w:anchor="tbl_rev">
        <w:r>
          <w:rPr>
            <w:rStyle w:val="Hyperlink"/>
            <w:lang w:val="en-US"/>
          </w:rPr>
          <w:t xml:space="preserve">Table 1</w:t>
        </w:r>
      </w:hyperlink>
      <w:r>
        <w:rPr>
          <w:lang w:val="en-US"/>
        </w:rPr>
        <w:t xml:space="preserve">), driven by on-premise deployments for manufacturing clients.</w:t>
      </w:r>
    </w:p>
    <w:p>
      <w:pPr>
        <w:pStyle w:val="CaptionedFigure"/>
      </w:pPr>
      <w:bookmarkStart w:id="15" w:name="fig_trend"/>
      <w:r>
        <w:drawing>
          <wp:inline>
            <wp:extent cx="5062728" cy="2657932"/>
            <wp:effectExtent b="0" l="0" r="0" t="0"/>
            <wp:docPr descr="Monthly revenue and gross margin" title="" id="12" name="Picture"/>
            <a:graphic>
              <a:graphicData uri="http://schemas.openxmlformats.org/drawingml/2006/picture">
                <pic:pic>
                  <pic:nvPicPr>
                    <pic:cNvPr descr="/var/folders/bl/5n_h09gn4dsd1gktj5qcv54w0000gn/T/docforge-vc6p593t/media-docx/image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728" cy="26579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5"/>
    </w:p>
    <w:p>
      <w:pPr>
        <w:pStyle w:val="ImageCaption"/>
      </w:pPr>
      <w:bookmarkStart w:id="14" w:name="ref_fig_trend"/>
      <w:r>
        <w:rPr>
          <w:lang w:val="en-US"/>
        </w:rPr>
        <w:t xml:space="preserve">Figure </w:t>
      </w:r>
      <w:fldSimple w:instr="SEQ Figure \* ARABIC ">
        <w:r>
          <w:t>1</w:t>
        </w:r>
      </w:fldSimple>
      <w:bookmarkEnd w:id="14"/>
      <w:r>
        <w:rPr>
          <w:lang w:val="en-US"/>
        </w:rPr>
        <w:t xml:space="preserve">. Monthly revenue and gross margin</w:t>
      </w:r>
    </w:p>
    <w:p>
      <w:pPr>
        <w:pStyle w:val="Heading1"/>
      </w:pPr>
      <w:bookmarkStart w:id="18" w:name="next_quarter"/>
      <w:r>
        <w:rPr>
          <w:lang w:val="en-US"/>
        </w:rPr>
        <w:t xml:space="preserve">Next quarter</w:t>
      </w:r>
      <w:bookmarkEnd w:id="18"/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Grow the cloud delivery team by 30 consultants;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Focus consulting on renewals, with an 85% renewal target;</w:t>
      </w:r>
    </w:p>
    <w:p>
      <w:pPr>
        <w:pStyle w:val="Compact"/>
        <w:numPr>
          <w:ilvl w:val="0"/>
          <w:numId w:val="1001"/>
        </w:numPr>
      </w:pPr>
      <w:r>
        <w:rPr>
          <w:lang w:val="en-US"/>
        </w:rPr>
        <w:t xml:space="preserve">Keep sales expenses below 12% of revenue.</w:t>
      </w:r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Q3 2026 Business Review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1F4E79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pBdr>
        <w:bottom w:color="9AAFC3" w:space="4" w:sz="6" w:val="single"/>
      </w:pBdr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1F4E79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1F4E79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1F4E79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1F4E79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1F4E79"/>
      <w:sz w:val="40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1F4E79"/>
      <w:sz w:val="32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1F4E79"/>
      <w:sz w:val="28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1F4E79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1565C0"/>
      </w:pBdr>
      <w:shd w:val="clear" w:color="auto" w:fill="EFF4FB"/>
      <w:spacing w:before="0" w:after="0" w:line="348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1565C0"/>
      </w:pBdr>
      <w:shd w:val="clear" w:color="auto" w:fill="EFF4FB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1565C0"/>
    </w:rPr>
  </w:style>
  <w:style w:type="character" w:customStyle="1" w:styleId="DFChar3">
    <w:name w:val="DF Char 3"/>
    <w:rPr>
      <w:color w:val="2E7D32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image" Id="rId11" Target="media/rId11.png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2026 Business Review</dc:title>
  <dc:creator>Business Operations</dc:creator>
  <dc:language>en-US</dc:language>
  <cp:keywords/>
  <dcterms:created xsi:type="dcterms:W3CDTF">2026-10-27T10:30:09Z</dcterms:created>
  <dcterms:modified xsi:type="dcterms:W3CDTF">2026-10-27T10:30:09Z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2026-10-15</vt:lpwstr>
  </property>
  <property fmtid="{D5CDD505-2E9C-101B-9397-08002B2CF9AE}" pid="3" name="subtitle">
    <vt:lpwstr>East Region · Quarterly report</vt:lpwstr>
  </property>
</Properties>
</file>