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header1.xml" ContentType="application/vnd.openxmlformats-officedocument.wordprocessingml.head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lang w:val="en-US"/>
        </w:rPr>
        <w:t xml:space="preserve">Spatial Variation of Housing Prices and Its Drivers</w:t>
      </w:r>
    </w:p>
    <w:p>
      <w:pPr>
        <w:pStyle w:val="Author"/>
      </w:pPr>
      <w:r>
        <w:rPr>
          <w:lang w:val="en-US"/>
        </w:rPr>
        <w:t xml:space="preserve">Ming Wang, Hua Li</w:t>
      </w:r>
    </w:p>
    <w:p>
      <w:pPr>
        <w:pStyle w:val="Date"/>
      </w:pPr>
      <w:r>
        <w:rPr>
          <w:lang w:val="en-US"/>
        </w:rPr>
        <w:t xml:space="preserve">September 2026</w:t>
      </w:r>
    </w:p>
    <w:p>
      <w:pPr>
        <w:pStyle w:val="AbstractTitle"/>
      </w:pPr>
      <w:r>
        <w:t xml:space="preserve">Abstract</w:t>
      </w:r>
    </w:p>
    <w:p>
      <w:pPr>
        <w:pStyle w:val="Abstract"/>
      </w:pPr>
      <w:r>
        <w:rPr>
          <w:lang w:val="en-US"/>
        </w:rPr>
        <w:t xml:space="preserve">Using housing transactions from 36 cities between 2020 and 2025, we estimate a hedonic price model of location, amenities and building age. A one-standard-deviation increase in rail-transit access raises the unit price by about 6.8%.</w:t>
      </w:r>
    </w:p>
    <w:p>
      <w:pPr>
        <w:pStyle w:val="Heading1"/>
      </w:pPr>
      <w:bookmarkStart w:id="9" w:name="introduction"/>
      <w:r>
        <w:rPr>
          <w:rStyle w:val="SectionNumber"/>
          <w:lang w:val="en-US"/>
        </w:rPr>
        <w:t xml:space="preserve">1</w:t>
      </w:r>
      <w:r>
        <w:tab/>
      </w:r>
      <w:r>
        <w:rPr>
          <w:lang w:val="en-US"/>
        </w:rPr>
        <w:t xml:space="preserve">Introduction</w:t>
      </w:r>
      <w:bookmarkEnd w:id="9"/>
    </w:p>
    <w:p>
      <w:pPr>
        <w:pStyle w:val="FirstParagraph"/>
      </w:pPr>
      <w:r>
        <w:rPr>
          <w:lang w:val="en-US"/>
        </w:rPr>
        <w:t xml:space="preserve">Spatial differences in housing prices are a core question of urban research. Most studies rely on hedonic pricing</w:t>
      </w:r>
      <w:r>
        <w:rPr>
          <w:vertAlign w:val="superscript"/>
          <w:lang w:val="en-US"/>
        </w:rPr>
        <w:t xml:space="preserve">[</w:t>
      </w:r>
      <w:hyperlink w:anchor="ref_smith2021">
        <w:r>
          <w:rPr>
            <w:rStyle w:val="Hyperlink"/>
            <w:vertAlign w:val="superscript"/>
            <w:lang w:val="en-US"/>
          </w:rPr>
          <w:t xml:space="preserve">1</w:t>
        </w:r>
      </w:hyperlink>
      <w:r>
        <w:rPr>
          <w:vertAlign w:val="superscript"/>
          <w:lang w:val="en-US"/>
        </w:rPr>
        <w:t xml:space="preserve">]</w:t>
      </w:r>
      <w:r>
        <w:rPr>
          <w:lang w:val="en-US"/>
        </w:rPr>
        <w:t xml:space="preserve">; others discuss adjustment factors in the sales comparison approach</w:t>
      </w:r>
      <w:r>
        <w:rPr>
          <w:vertAlign w:val="superscript"/>
          <w:lang w:val="en-US"/>
        </w:rPr>
        <w:t xml:space="preserve">[</w:t>
      </w:r>
      <w:hyperlink w:anchor="ref_zhang2024">
        <w:r>
          <w:rPr>
            <w:rStyle w:val="Hyperlink"/>
            <w:vertAlign w:val="superscript"/>
            <w:lang w:val="en-US"/>
          </w:rPr>
          <w:t xml:space="preserve">2</w:t>
        </w:r>
      </w:hyperlink>
      <w:r>
        <w:rPr>
          <w:vertAlign w:val="superscript"/>
          <w:lang w:val="en-US"/>
        </w:rPr>
        <w:t xml:space="preserve">]</w:t>
      </w:r>
      <w:r>
        <w:rPr>
          <w:lang w:val="en-US"/>
        </w:rPr>
        <w:t xml:space="preserve">.</w:t>
      </w:r>
    </w:p>
    <w:p>
      <w:pPr>
        <w:pStyle w:val="Heading1"/>
      </w:pPr>
      <w:bookmarkStart w:id="11" w:name="model"/>
      <w:r>
        <w:rPr>
          <w:rStyle w:val="SectionNumber"/>
          <w:lang w:val="en-US"/>
        </w:rPr>
        <w:t xml:space="preserve">2</w:t>
      </w:r>
      <w:r>
        <w:tab/>
      </w:r>
      <w:r>
        <w:rPr>
          <w:lang w:val="en-US"/>
        </w:rPr>
        <w:t xml:space="preserve">Model</w:t>
      </w:r>
      <w:bookmarkEnd w:id="11"/>
    </w:p>
    <w:p>
      <w:pPr>
        <w:pStyle w:val="FirstParagraph"/>
      </w:pPr>
      <w:r>
        <w:rPr>
          <w:lang w:val="en-US"/>
        </w:rPr>
        <w:t xml:space="preserve">Let</w:t>
      </w:r>
      <w:r>
        <w:rPr>
          <w:lang w:val="en-US"/>
        </w:rPr>
        <w:t xml:space="preserve"> </w:t>
      </w:r>
      <m:oMath>
        <m:sSub>
          <m:e>
            <m:r>
              <m:t>P</m:t>
            </m:r>
          </m:e>
          <m:sub>
            <m:r>
              <m:t>i</m:t>
            </m:r>
          </m:sub>
        </m:sSub>
      </m:oMath>
      <w:r>
        <w:rPr>
          <w:lang w:val="en-US"/>
        </w:rPr>
        <w:t xml:space="preserve"> </w:t>
      </w:r>
      <w:r>
        <w:rPr>
          <w:lang w:val="en-US"/>
        </w:rPr>
        <w:t xml:space="preserve">be the price of dwelling</w:t>
      </w:r>
      <w:r>
        <w:rPr>
          <w:lang w:val="en-US"/>
        </w:rPr>
        <w:t xml:space="preserve"> </w:t>
      </w:r>
      <m:oMath>
        <m:r>
          <m:t>i</m:t>
        </m:r>
      </m:oMath>
      <w:r>
        <w:rPr>
          <w:lang w:val="en-US"/>
        </w:rPr>
        <w:t xml:space="preserve"> </w:t>
      </w:r>
      <w:r>
        <w:rPr>
          <w:lang w:val="en-US"/>
        </w:rPr>
        <w:t xml:space="preserve">and</w:t>
      </w:r>
      <w:r>
        <w:rPr>
          <w:lang w:val="en-US"/>
        </w:rPr>
        <w:t xml:space="preserve"> </w:t>
      </w:r>
      <m:oMath>
        <m:sSub>
          <m:e>
            <m:r>
              <m:rPr>
                <m:sty m:val="bi"/>
              </m:rPr>
              <m:t>x</m:t>
            </m:r>
          </m:e>
          <m:sub>
            <m:r>
              <m:t>i</m:t>
            </m:r>
          </m:sub>
        </m:sSub>
      </m:oMath>
      <w:r>
        <w:rPr>
          <w:lang w:val="en-US"/>
        </w:rPr>
        <w:t xml:space="preserve"> </w:t>
      </w:r>
      <w:r>
        <w:rPr>
          <w:lang w:val="en-US"/>
        </w:rPr>
        <w:t xml:space="preserve">its characteristics. We use the semi-log form</w:t>
      </w:r>
    </w:p>
    <w:p>
      <w:pPr>
        <w:pStyle w:val="DFEquation"/>
      </w:pPr>
      <w:r>
        <w:tab/>
      </w:r>
      <m:oMath>
        <m:r>
          <m:rPr>
            <m:sty m:val="p"/>
          </m:rPr>
          <m:t>ln</m:t>
        </m:r>
        <m:sSub>
          <m:e>
            <m:r>
              <m:t>P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sSub>
          <m:e>
            <m:r>
              <m:t>β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nary>
          <m:naryPr>
            <m:chr m:val="∑"/>
            <m:limLoc m:val="undOvr"/>
            <m:subHide m:val="off"/>
            <m:supHide m:val="off"/>
          </m:naryPr>
          <m:sub>
            <m:r>
              <m:t>k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K</m:t>
            </m:r>
          </m:sup>
          <m:e>
            <m:sSub>
              <m:e>
                <m:r>
                  <m:t>β</m:t>
                </m:r>
              </m:e>
              <m:sub>
                <m:r>
                  <m:t>k</m:t>
                </m:r>
              </m:sub>
            </m:sSub>
          </m:e>
        </m:nary>
        <m:sSub>
          <m:e>
            <m:r>
              <m:t>x</m:t>
            </m:r>
          </m:e>
          <m:sub>
            <m:r>
              <m:t>i</m:t>
            </m:r>
            <m:r>
              <m:t>k</m:t>
            </m:r>
          </m:sub>
        </m:sSub>
        <m:r>
          <m:rPr>
            <m:sty m:val="p"/>
          </m:rPr>
          <m:t>+</m:t>
        </m:r>
        <m:sSub>
          <m:e>
            <m:r>
              <m:t>ε</m:t>
            </m:r>
          </m:e>
          <m:sub>
            <m:r>
              <m:t>i</m:t>
            </m:r>
          </m:sub>
        </m:sSub>
      </m:oMath>
      <w:r>
        <w:tab/>
      </w:r>
      <w:bookmarkStart w:id="10" w:name="eq_hedonic"/>
      <w:r>
        <w:rPr>
          <w:lang w:val="en-US"/>
        </w:rPr>
        <w:t xml:space="preserve">(1)</w:t>
      </w:r>
      <w:bookmarkEnd w:id="10"/>
    </w:p>
    <w:p>
      <w:pPr>
        <w:pStyle w:val="BodyText"/>
      </w:pPr>
      <w:r>
        <w:rPr>
          <w:lang w:val="en-US"/>
        </w:rPr>
        <w:t xml:space="preserve">where</w:t>
      </w:r>
      <w:r>
        <w:rPr>
          <w:lang w:val="en-US"/>
        </w:rPr>
        <w:t xml:space="preserve"> </w:t>
      </w:r>
      <m:oMath>
        <m:sSub>
          <m:e>
            <m:r>
              <m:t>β</m:t>
            </m:r>
          </m:e>
          <m:sub>
            <m:r>
              <m:t>k</m:t>
            </m:r>
          </m:sub>
        </m:sSub>
      </m:oMath>
      <w:r>
        <w:rPr>
          <w:lang w:val="en-US"/>
        </w:rPr>
        <w:t xml:space="preserve"> </w:t>
      </w:r>
      <w:r>
        <w:rPr>
          <w:lang w:val="en-US"/>
        </w:rPr>
        <w:t xml:space="preserve">in</w:t>
      </w:r>
      <w:r>
        <w:rPr>
          <w:lang w:val="en-US"/>
        </w:rPr>
        <w:t xml:space="preserve"> </w:t>
      </w:r>
      <w:hyperlink w:anchor="eq_hedonic">
        <w:r>
          <w:rPr>
            <w:rStyle w:val="Hyperlink"/>
            <w:lang w:val="en-US"/>
          </w:rPr>
          <w:t xml:space="preserve">Eq. (1)</w:t>
        </w:r>
      </w:hyperlink>
      <w:r>
        <w:rPr>
          <w:lang w:val="en-US"/>
        </w:rPr>
        <w:t xml:space="preserve"> </w:t>
      </w:r>
      <w:r>
        <w:rPr>
          <w:lang w:val="en-US"/>
        </w:rPr>
        <w:t xml:space="preserve">is the marginal effect of characteristic</w:t>
      </w:r>
      <w:r>
        <w:rPr>
          <w:lang w:val="en-US"/>
        </w:rPr>
        <w:t xml:space="preserve"> </w:t>
      </w:r>
      <m:oMath>
        <m:r>
          <m:t>k</m:t>
        </m:r>
      </m:oMath>
      <w:r>
        <w:rPr>
          <w:lang w:val="en-US"/>
        </w:rPr>
        <w:t xml:space="preserve">.</w:t>
      </w:r>
    </w:p>
    <w:p>
      <w:pPr>
        <w:pStyle w:val="Heading1"/>
      </w:pPr>
      <w:bookmarkStart w:id="14" w:name="results"/>
      <w:r>
        <w:rPr>
          <w:rStyle w:val="SectionNumber"/>
          <w:lang w:val="en-US"/>
        </w:rPr>
        <w:t xml:space="preserve">3</w:t>
      </w:r>
      <w:r>
        <w:tab/>
      </w:r>
      <w:r>
        <w:rPr>
          <w:lang w:val="en-US"/>
        </w:rPr>
        <w:t xml:space="preserve">Results</w:t>
      </w:r>
      <w:bookmarkEnd w:id="14"/>
    </w:p>
    <w:p>
      <w:pPr>
        <w:pStyle w:val="TableCaption"/>
      </w:pPr>
      <w:bookmarkStart w:id="13" w:name="tbl_est"/>
      <w:bookmarkStart w:id="12" w:name="tbl_est"/>
      <w:r>
        <w:rPr>
          <w:lang w:val="en-US"/>
        </w:rPr>
        <w:t xml:space="preserve">Table </w:t>
      </w:r>
      <w:fldSimple w:instr="SEQ Table \* ARABIC ">
        <w:r>
          <w:t>1</w:t>
        </w:r>
      </w:fldSimple>
      <w:bookmarkEnd w:id="12"/>
      <w:r>
        <w:rPr>
          <w:lang w:val="en-US"/>
        </w:rPr>
        <w:t xml:space="preserve">. Hedonic model estimates</w:t>
      </w:r>
      <w:bookmarkEnd w:id="13"/>
    </w:p>
    <w:tbl>
      <w:tblPr>
        <w:tblStyle w:val="Table"/>
        <w:tblW w:type="dxa" w:w="5129"/>
        <w:jc w:val="center"/>
        <w:tblBorders>
          <w:top w:val="single" w:sz="12" w:space="0" w:color="000000"/>
          <w:left w:val="nil" w:sz="0" w:space="0" w:color="auto"/>
          <w:bottom w:val="single" w:sz="12" w:space="0" w:color="000000"/>
          <w:right w:val="nil" w:sz="0" w:space="0" w:color="auto"/>
          <w:insideH w:val="nil" w:sz="0" w:space="0" w:color="auto"/>
          <w:insideV w:val="nil" w:sz="0" w:space="0" w:color="auto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Row="1" w:lastRow="0" w:firstColumn="0" w:lastColumn="0" w:noHBand="0" w:noVBand="0" w:val="0020"/>
        <w:tblCaption w:val="Hedonic model estimates"/>
      </w:tblPr>
      <w:tblGrid>
        <w:gridCol w:w="2454"/>
        <w:gridCol w:w="1003"/>
        <w:gridCol w:w="892"/>
        <w:gridCol w:w="780"/>
      </w:tblGrid>
      <w:tr>
        <w:trPr>
          <w:cantSplit/>
          <w:tblHeader w:val="on"/>
        </w:trPr>
        <w:tc>
          <w:tcPr>
            <w:tcBorders>
              <w:bottom w:val="single" w:sz="6" w:space="0" w:color="000000"/>
            </w:tcBorders>
            <w:vAlign w:val="center"/>
          </w:tcPr>
          <w:p>
            <w:pPr>
              <w:pStyle w:val="DFTableText"/>
            </w:pPr>
            <w:r>
              <w:rPr>
                <w:b/>
                <w:bCs/>
                <w:color w:val="000000"/>
                <w:lang w:val="en-US"/>
              </w:rPr>
              <w:t xml:space="preserve">Variable</w:t>
            </w:r>
          </w:p>
        </w:tc>
        <w:tc>
          <w:tcPr>
            <w:tcBorders>
              <w:bottom w:val="single" w:sz="6" w:space="0" w:color="000000"/>
            </w:tcBorders>
            <w:vAlign w:val="center"/>
          </w:tcPr>
          <w:p>
            <w:pPr>
              <w:pStyle w:val="DFTableText"/>
              <w:jc w:val="right"/>
            </w:pPr>
            <w:r>
              <w:rPr>
                <w:b/>
                <w:bCs/>
                <w:color w:val="000000"/>
                <w:lang w:val="en-US"/>
              </w:rPr>
              <w:t xml:space="preserve">Coef.</w:t>
            </w:r>
          </w:p>
        </w:tc>
        <w:tc>
          <w:tcPr>
            <w:tcBorders>
              <w:bottom w:val="single" w:sz="6" w:space="0" w:color="000000"/>
            </w:tcBorders>
            <w:vAlign w:val="center"/>
          </w:tcPr>
          <w:p>
            <w:pPr>
              <w:pStyle w:val="DFTableText"/>
              <w:jc w:val="right"/>
            </w:pPr>
            <w:r>
              <w:rPr>
                <w:b/>
                <w:bCs/>
                <w:color w:val="000000"/>
                <w:lang w:val="en-US"/>
              </w:rPr>
              <w:t xml:space="preserve">S.E.</w:t>
            </w:r>
          </w:p>
        </w:tc>
        <w:tc>
          <w:tcPr>
            <w:tcBorders>
              <w:bottom w:val="single" w:sz="6" w:space="0" w:color="000000"/>
            </w:tcBorders>
            <w:vAlign w:val="center"/>
          </w:tcPr>
          <w:p>
            <w:pPr>
              <w:pStyle w:val="DFTableText"/>
              <w:jc w:val="center"/>
            </w:pPr>
            <w:r>
              <w:rPr>
                <w:b/>
                <w:bCs/>
                <w:color w:val="000000"/>
                <w:lang w:val="en-US"/>
              </w:rPr>
              <w:t xml:space="preserve">Sig.</w:t>
            </w:r>
          </w:p>
        </w:tc>
      </w:tr>
      <w:tr>
        <w:trPr>
          <w:cantSplit/>
        </w:trPr>
        <w:tc>
          <w:tcPr>
            <w:vAlign w:val="center"/>
          </w:tcPr>
          <w:p>
            <w:pPr>
              <w:pStyle w:val="DFTableText"/>
            </w:pPr>
            <w:r>
              <w:rPr>
                <w:lang w:val="en-US"/>
              </w:rPr>
              <w:t xml:space="preserve">Rail-transit access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en-US"/>
              </w:rPr>
              <w:t xml:space="preserve">0.068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en-US"/>
              </w:rPr>
              <w:t xml:space="preserve">0.009</w:t>
            </w:r>
          </w:p>
        </w:tc>
        <w:tc>
          <w:tcPr>
            <w:vAlign w:val="center"/>
          </w:tcPr>
          <w:p>
            <w:pPr>
              <w:pStyle w:val="DFTableText"/>
              <w:jc w:val="center"/>
            </w:pPr>
            <w:r>
              <w:rPr>
                <w:lang w:val="en-US"/>
              </w:rPr>
              <w:t xml:space="preserve">***</w:t>
            </w:r>
          </w:p>
        </w:tc>
      </w:tr>
      <w:tr>
        <w:trPr>
          <w:cantSplit/>
        </w:trPr>
        <w:tc>
          <w:tcPr>
            <w:vAlign w:val="center"/>
          </w:tcPr>
          <w:p>
            <w:pPr>
              <w:pStyle w:val="DFTableText"/>
            </w:pPr>
            <w:r>
              <w:rPr>
                <w:lang w:val="en-US"/>
              </w:rPr>
              <w:t xml:space="preserve">School quality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en-US"/>
              </w:rPr>
              <w:t xml:space="preserve">0.052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en-US"/>
              </w:rPr>
              <w:t xml:space="preserve">0.011</w:t>
            </w:r>
          </w:p>
        </w:tc>
        <w:tc>
          <w:tcPr>
            <w:vAlign w:val="center"/>
          </w:tcPr>
          <w:p>
            <w:pPr>
              <w:pStyle w:val="DFTableText"/>
              <w:jc w:val="center"/>
            </w:pPr>
            <w:r>
              <w:rPr>
                <w:lang w:val="en-US"/>
              </w:rPr>
              <w:t xml:space="preserve">***</w:t>
            </w:r>
          </w:p>
        </w:tc>
      </w:tr>
      <w:tr>
        <w:trPr>
          <w:cantSplit/>
        </w:trPr>
        <w:tc>
          <w:tcPr>
            <w:vAlign w:val="center"/>
          </w:tcPr>
          <w:p>
            <w:pPr>
              <w:pStyle w:val="DFTableText"/>
            </w:pPr>
            <w:r>
              <w:rPr>
                <w:lang w:val="en-US"/>
              </w:rPr>
              <w:t xml:space="preserve">Building age (yrs)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en-US"/>
              </w:rPr>
              <w:t xml:space="preserve">−0.007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en-US"/>
              </w:rPr>
              <w:t xml:space="preserve">0.002</w:t>
            </w:r>
          </w:p>
        </w:tc>
        <w:tc>
          <w:tcPr>
            <w:vAlign w:val="center"/>
          </w:tcPr>
          <w:p>
            <w:pPr>
              <w:pStyle w:val="DFTableText"/>
              <w:jc w:val="center"/>
            </w:pPr>
            <w:r>
              <w:rPr>
                <w:lang w:val="en-US"/>
              </w:rPr>
              <w:t xml:space="preserve">**</w:t>
            </w:r>
          </w:p>
        </w:tc>
      </w:tr>
      <w:tr>
        <w:trPr>
          <w:cantSplit/>
        </w:trPr>
        <w:tc>
          <w:tcPr>
            <w:vAlign w:val="center"/>
          </w:tcPr>
          <w:p>
            <w:pPr>
              <w:pStyle w:val="DFTableText"/>
            </w:pPr>
            <w:r>
              <w:rPr>
                <w:lang w:val="en-US"/>
              </w:rPr>
              <w:t xml:space="preserve">Floor-area ratio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en-US"/>
              </w:rPr>
              <w:t xml:space="preserve">−0.015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en-US"/>
              </w:rPr>
              <w:t xml:space="preserve">0.006</w:t>
            </w:r>
          </w:p>
        </w:tc>
        <w:tc>
          <w:tcPr>
            <w:vAlign w:val="center"/>
          </w:tcPr>
          <w:p>
            <w:pPr>
              <w:pStyle w:val="DFTableText"/>
              <w:jc w:val="center"/>
            </w:pPr>
            <w:r>
              <w:rPr>
                <w:lang w:val="en-US"/>
              </w:rPr>
              <w:t xml:space="preserve">*</w:t>
            </w:r>
          </w:p>
        </w:tc>
      </w:tr>
    </w:tbl>
    <w:p>
      <w:pPr>
        <w:pStyle w:val="Heading1"/>
      </w:pPr>
      <w:bookmarkStart w:id="18" w:name="references"/>
      <w:r>
        <w:rPr>
          <w:lang w:val="en-US"/>
        </w:rPr>
        <w:t xml:space="preserve">References</w:t>
      </w:r>
      <w:bookmarkEnd w:id="18"/>
    </w:p>
    <w:p>
      <w:pPr>
        <w:pStyle w:val="Bibliography"/>
      </w:pPr>
      <w:bookmarkStart w:id="15" w:name="ref_smith2021"/>
      <w:bookmarkStart w:id="17" w:name="refs"/>
      <w:r>
        <w:rPr>
          <w:lang w:val="en-US"/>
        </w:rPr>
        <w:t xml:space="preserve">[1]</w:t>
      </w:r>
      <w:r>
        <w:rPr>
          <w:lang w:val="en-US"/>
        </w:rPr>
        <w:t xml:space="preserve"> </w:t>
      </w:r>
      <w:r>
        <w:t xml:space="preserve">	</w:t>
      </w:r>
      <w:r>
        <w:rPr>
          <w:lang w:val="en-US"/>
        </w:rPr>
        <w:t xml:space="preserve">SMITH J, DOE J. Hedonic pricing of residential property[J]. Journal of Real Estate Research, 2021, 43(2): 101-125.</w:t>
      </w:r>
      <w:bookmarkEnd w:id="17"/>
      <w:bookmarkEnd w:id="15"/>
    </w:p>
    <w:p>
      <w:pPr>
        <w:pStyle w:val="Bibliography"/>
      </w:pPr>
      <w:bookmarkStart w:id="16" w:name="ref_zhang2024"/>
      <w:r>
        <w:rPr>
          <w:lang w:val="en-US"/>
        </w:rPr>
        <w:t xml:space="preserve">[2]</w:t>
      </w:r>
      <w:r>
        <w:rPr>
          <w:lang w:val="en-US"/>
        </w:rPr>
        <w:t xml:space="preserve"> </w:t>
      </w:r>
      <w:r>
        <w:t xml:space="preserve">	</w:t>
      </w:r>
      <w:r>
        <w:rPr>
          <w:rFonts w:hint="eastAsia"/>
          <w:lang w:val="en-US"/>
        </w:rPr>
        <w:t xml:space="preserve">张三,</w:t>
      </w:r>
      <w:r>
        <w:rPr>
          <w:lang w:val="en-US"/>
        </w:rPr>
        <w:t xml:space="preserve"> </w:t>
      </w:r>
      <w:r>
        <w:rPr>
          <w:rFonts w:hint="eastAsia"/>
          <w:lang w:val="en-US"/>
        </w:rPr>
        <w:t xml:space="preserve">李四.</w:t>
      </w:r>
      <w:r>
        <w:rPr>
          <w:lang w:val="en-US"/>
        </w:rPr>
        <w:t xml:space="preserve"> </w:t>
      </w:r>
      <w:r>
        <w:rPr>
          <w:rFonts w:hint="eastAsia"/>
          <w:lang w:val="en-US"/>
        </w:rPr>
        <w:t xml:space="preserve">房地产估价中比较法修正系数的确定方法研究[J].</w:t>
      </w:r>
      <w:r>
        <w:rPr>
          <w:lang w:val="en-US"/>
        </w:rPr>
        <w:t xml:space="preserve"> </w:t>
      </w:r>
      <w:r>
        <w:rPr>
          <w:rFonts w:hint="eastAsia"/>
          <w:lang w:val="en-US"/>
        </w:rPr>
        <w:t xml:space="preserve">中国房地产估价与经纪,</w:t>
      </w:r>
      <w:r>
        <w:rPr>
          <w:lang w:val="en-US"/>
        </w:rPr>
        <w:t xml:space="preserve"> 2024(3): 45-52.</w:t>
      </w:r>
      <w:bookmarkEnd w:id="16"/>
    </w:p>
    <w:sectPr>
      <w:headerReference w:type="default" r:id="rIdDfHeader1"/>
      <w:footerReference r:id="rIdDfFooter1" w:type="default"/>
      <w:footerReference w:type="first" r:id="rIdDfFooter1"/>
      <w:footnotePr>
        <w:numRestart w:val="eachSect"/>
      </w:footnotePr>
      <w:pgSz w:h="16838" w:w="11906"/>
      <w:pgMar w:bottom="1417" w:footer="709" w:gutter="0" w:header="851" w:left="1417" w:right="1417" w:top="1417"/>
      <w:cols w:space="425"/>
      <w:titlePg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</w:font>
  <w:font w:name="游明朝">
    <w:altName w:val="Yu Mincho"/>
    <w:panose1 w:val="02020400000000000000"/>
    <w:charset w:val="80"/>
    <w:family w:val="roman"/>
    <w:pitch w:val="variable"/>
  </w:font>
  <w:font w:name="游ゴシック">
    <w:altName w:val="Yu Gothic"/>
    <w:panose1 w:val="020B0400000000000000"/>
    <w:charset w:val="80"/>
    <w:family w:val="swiss"/>
    <w:pitch w:val="variable"/>
  </w:font>
  <w:font w:name="黑体">
    <w:altName w:val="SimHei"/>
    <w:panose1 w:val="02010609060101010101"/>
    <w:charset w:val="86"/>
    <w:family w:val="modern"/>
    <w:pitch w:val="variable"/>
  </w:font>
  <w:font w:name="楷体">
    <w:altName w:val="KaiTi"/>
    <w:panose1 w:val="02010609060101010101"/>
    <w:charset w:val="86"/>
    <w:family w:val="modern"/>
    <w:pitch w:val="fixed"/>
  </w:font>
  <w:font w:name="仿宋">
    <w:altName w:val="FangSong"/>
    <w:panose1 w:val="02010609060101010101"/>
    <w:charset w:val="86"/>
    <w:family w:val="modern"/>
    <w:pitch w:val="fixed"/>
  </w:font>
  <w:font w:name="微软雅黑">
    <w:altName w:val="Microsoft YaHei"/>
    <w:panose1 w:val="020B0503020204020204"/>
    <w:charset w:val="86"/>
    <w:family w:val="swiss"/>
    <w:pitch w:val="variable"/>
  </w:font>
  <w:font w:name="Consolas">
    <w:altName w:val="Menlo"/>
    <w:panose1 w:val="020B0609020204030204"/>
    <w:charset w:val="00"/>
    <w:family w:val="modern"/>
    <w:pitch w:val="fixed"/>
  </w:font>
  <w:font w:name="Arial">
    <w:altName w:val="Helvetica"/>
    <w:panose1 w:val="020B0604020202020204"/>
    <w:charset w:val="00"/>
    <w:family w:val="swiss"/>
    <w:pitch w:val="variable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6B7280"/>
        <w:sz w:val="18"/>
      </w:rPr>
      <w:fldChar w:fldCharType="begin"/>
    </w:r>
    <w:r>
      <w:rPr>
        <w:color w:val="6B7280"/>
        <w:sz w:val="18"/>
      </w:rPr>
      <w:instrText xml:space="preserve"> PAGE </w:instrText>
    </w:r>
    <w:r>
      <w:rPr>
        <w:color w:val="6B7280"/>
        <w:sz w:val="18"/>
      </w:rPr>
      <w:fldChar w:fldCharType="separate"/>
    </w:r>
    <w:r>
      <w:rPr>
        <w:color w:val="6B7280"/>
        <w:sz w:val="18"/>
      </w:rPr>
      <w:t>1</w:t>
    </w:r>
    <w:r>
      <w:rPr>
        <w:color w:val="6B7280"/>
        <w:sz w:val="18"/>
      </w:rPr>
      <w:fldChar w:fldCharType="end"/>
    </w:r>
    <w:r>
      <w:rPr>
        <w:color w:val="6B7280"/>
        <w:sz w:val="18"/>
      </w:rPr>
      <w:t xml:space="preserve"> / </w:t>
    </w:r>
    <w:r>
      <w:rPr>
        <w:color w:val="6B7280"/>
        <w:sz w:val="18"/>
      </w:rPr>
      <w:fldChar w:fldCharType="begin"/>
    </w:r>
    <w:r>
      <w:rPr>
        <w:color w:val="6B7280"/>
        <w:sz w:val="18"/>
      </w:rPr>
      <w:instrText xml:space="preserve"> NUMPAGES </w:instrText>
    </w:r>
    <w:r>
      <w:rPr>
        <w:color w:val="6B7280"/>
        <w:sz w:val="18"/>
      </w:rPr>
      <w:fldChar w:fldCharType="separate"/>
    </w:r>
    <w:r>
      <w:rPr>
        <w:color w:val="6B7280"/>
        <w:sz w:val="18"/>
      </w:rPr>
      <w:t>1</w:t>
    </w:r>
    <w:r>
      <w:rPr>
        <w:color w:val="6B7280"/>
        <w:sz w:val="18"/>
      </w:rP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="http://schemas.openxmlformats.org/wordprocessingml/2006/main" xmlns:r="http://schemas.openxmlformats.org/officeDocument/2006/relationships">
  <w:p>
    <w:pPr>
      <w:pBdr>
        <w:bottom w:val="single" w:sz="4" w:space="4" w:color="1A1A1A"/>
      </w:pBdr>
      <w:tabs>
        <w:tab w:val="right" w:pos="9071"/>
      </w:tabs>
      <w:spacing w:after="0"/>
      <w:jc w:val="left"/>
    </w:pPr>
    <w:r>
      <w:rPr>
        <w:color w:val="6B7280"/>
        <w:sz w:val="18"/>
        <w:szCs w:val="18"/>
      </w:rPr>
      <w:t xml:space="preserve">Spatial Variation of Housing Prices and Its Drivers</w:t>
    </w:r>
    <w:r>
      <w:rPr>
        <w:color w:val="6B7280"/>
        <w:sz w:val="18"/>
        <w:szCs w:val="18"/>
      </w:rPr>
      <w:tab/>
    </w:r>
    <w:r>
      <w:rPr>
        <w:color w:val="6B7280"/>
        <w:sz w:val="18"/>
        <w:szCs w:val="18"/>
      </w:rPr>
      <w:fldChar w:fldCharType="begin"/>
    </w:r>
    <w:r>
      <w:rPr>
        <w:color w:val="6B7280"/>
        <w:sz w:val="18"/>
        <w:szCs w:val="18"/>
      </w:rPr>
      <w:instrText xml:space="preserve"> STYLEREF "heading 1" \* MERGEFORMAT </w:instrText>
    </w:r>
    <w:r>
      <w:rPr>
        <w:color w:val="6B7280"/>
        <w:sz w:val="18"/>
        <w:szCs w:val="18"/>
      </w:rPr>
      <w:fldChar w:fldCharType="separate"/>
    </w:r>
    <w:r>
      <w:rPr>
        <w:color w:val="6B7280"/>
        <w:sz w:val="18"/>
        <w:szCs w:val="18"/>
      </w:rPr>
      <w:t/>
    </w:r>
    <w:r>
      <w:rPr>
        <w:color w:val="6B7280"/>
        <w:sz w:val="18"/>
        <w:szCs w:val="18"/>
      </w:rPr>
      <w:fldChar w:fldCharType="end"/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ExpandShiftReturn/>
  </w:compat>
  <w:rsids>
  </w:rsids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cs="Times New Roman" w:eastAsia="宋体" w:hAnsi="Times New Roman" w:hint="eastAsia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pacing w:after="0" w:line="435" w:lineRule="atLeast"/>
      <w:jc w:val="both"/>
    </w:pPr>
    <w:rPr>
      <w:rFonts w:ascii="Times New Roman" w:cs="Times New Roman" w:eastAsia="宋体" w:hAnsi="Times New Roman" w:hint="eastAsia"/>
      <w:color w:val="222222"/>
      <w:kern w:val="0"/>
      <w:sz w:val="24"/>
      <w:szCs w:val="24"/>
      <w:lang w:eastAsia="zh-CN" w:val="en-US"/>
    </w:rPr>
  </w:style>
  <w:style w:styleId="BodyText" w:type="paragraph">
    <w:name w:val="Body Text"/>
    <w:basedOn w:val="Normal"/>
    <w:next w:val="BodyText"/>
    <w:link w:val="BodyTextChar"/>
    <w:qFormat/>
    <w:pPr>
      <w:spacing w:after="120" w:before="60"/>
      <w:ind w:firstLine="420" w:firstLineChars="200"/>
    </w:pPr>
  </w:style>
  <w:style w:styleId="FirstParagraph" w:type="paragraph">
    <w:name w:val="First Paragraph"/>
    <w:basedOn w:val="BodyText"/>
    <w:next w:val="BodyText"/>
    <w:qFormat/>
  </w:style>
  <w:style w:styleId="Compact" w:type="paragraph">
    <w:name w:val="Compact"/>
    <w:basedOn w:val="BodyText"/>
    <w:qFormat/>
    <w:pPr>
      <w:spacing w:after="20" w:before="20" w:line="300" w:lineRule="auto"/>
      <w:ind w:firstLine="0" w:firstLineChars="0"/>
      <w:jc w:val="left"/>
    </w:pPr>
  </w:style>
  <w:style w:styleId="Title" w:type="paragraph">
    <w:name w:val="Title"/>
    <w:basedOn w:val="Normal"/>
    <w:next w:val="BodyText"/>
    <w:qFormat/>
    <w:pPr>
      <w:spacing w:after="120" w:before="240" w:line="240" w:lineRule="auto"/>
      <w:jc w:val="center"/>
    </w:pPr>
    <w:rPr>
      <w:rFonts w:ascii="Arial" w:cs="Arial" w:eastAsia="黑体" w:hAnsi="Arial" w:hint="eastAsia"/>
      <w:b/>
      <w:bCs/>
      <w:color w:val="000000"/>
      <w:sz w:val="44"/>
      <w:szCs w:val="44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Normal"/>
    <w:next w:val="BodyText"/>
    <w:qFormat/>
    <w:pPr>
      <w:spacing w:after="160" w:before="0"/>
      <w:jc w:val="center"/>
    </w:pPr>
    <w:rPr>
      <w:rFonts w:ascii="Arial" w:cs="Arial" w:eastAsia="黑体" w:hAnsi="Arial" w:hint="eastAsia"/>
      <w:color w:val="6B7280"/>
      <w:sz w:val="30"/>
      <w:szCs w:val="3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styleId="Author" w:type="paragraph">
    <w:name w:val="Author"/>
    <w:basedOn w:val="Normal"/>
    <w:next w:val="BodyText"/>
    <w:qFormat/>
    <w:pPr>
      <w:spacing w:after="40"/>
      <w:jc w:val="center"/>
    </w:pPr>
    <w:rPr>
      <w:color w:val="6B7280"/>
    </w:rPr>
  </w:style>
  <w:style w:styleId="Date" w:type="paragraph">
    <w:name w:val="Date"/>
    <w:basedOn w:val="Normal"/>
    <w:next w:val="BodyText"/>
    <w:qFormat/>
    <w:pPr>
      <w:pBdr>
        <w:bottom w:color="000000" w:space="8" w:sz="8" w:val="single"/>
      </w:pBdr>
      <w:spacing w:after="240"/>
      <w:jc w:val="center"/>
    </w:pPr>
    <w:rPr>
      <w:color w:val="6B7280"/>
      <w:sz w:val="22"/>
    </w:rPr>
  </w:style>
  <w:style w:styleId="AbstractTitle" w:type="paragraph">
    <w:name w:val="Abstract Title"/>
    <w:basedOn w:val="Normal"/>
    <w:next w:val="Abstract"/>
    <w:qFormat/>
    <w:pPr>
      <w:keepNext/>
      <w:spacing w:after="60" w:before="200"/>
      <w:jc w:val="center"/>
    </w:pPr>
    <w:rPr>
      <w:rFonts w:ascii="Arial" w:cs="Arial" w:eastAsia="黑体" w:hAnsi="Arial" w:hint="eastAsia"/>
      <w:b/>
      <w:color w:val="000000"/>
    </w:rPr>
  </w:style>
  <w:style w:styleId="Abstract" w:type="paragraph">
    <w:name w:val="Abstract"/>
    <w:basedOn w:val="Normal"/>
    <w:next w:val="BodyText"/>
    <w:qFormat/>
    <w:pPr>
      <w:spacing w:after="200" w:before="60"/>
      <w:ind w:left="567" w:right="567"/>
    </w:pPr>
    <w:rPr>
      <w:color w:val="6B7280"/>
      <w:sz w:val="23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pPr>
      <w:keepNext/>
      <w:keepLines/>
      <w:spacing w:after="160" w:before="360" w:line="300" w:lineRule="auto"/>
      <w:ind w:firstLine="0" w:firstLineChars="0"/>
      <w:jc w:val="left"/>
      <w:outlineLvl w:val="0"/>
    </w:pPr>
    <w:rPr>
      <w:rFonts w:ascii="Arial" w:cs="Arial" w:eastAsia="黑体" w:hAnsi="Arial" w:hint="eastAsia"/>
      <w:b/>
      <w:bCs/>
      <w:color w:val="000000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qFormat/>
    <w:pPr>
      <w:keepNext/>
      <w:keepLines/>
      <w:spacing w:after="120" w:before="280" w:line="300" w:lineRule="auto"/>
      <w:ind w:firstLine="0" w:firstLineChars="0"/>
      <w:jc w:val="left"/>
      <w:outlineLvl w:val="1"/>
    </w:pPr>
    <w:rPr>
      <w:rFonts w:ascii="Arial" w:cs="Arial" w:eastAsia="黑体" w:hAnsi="Arial" w:hint="eastAsia"/>
      <w:b/>
      <w:bCs/>
      <w:color w:val="000000"/>
      <w:sz w:val="28"/>
      <w:szCs w:val="28"/>
    </w:rPr>
  </w:style>
  <w:style w:styleId="Heading3" w:type="paragraph">
    <w:name w:val="heading 3"/>
    <w:basedOn w:val="Normal"/>
    <w:next w:val="BodyText"/>
    <w:link w:val="Heading3Char"/>
    <w:uiPriority w:val="9"/>
    <w:qFormat/>
    <w:pPr>
      <w:keepNext/>
      <w:keepLines/>
      <w:spacing w:after="100" w:before="220" w:line="300" w:lineRule="auto"/>
      <w:ind w:firstLine="0" w:firstLineChars="0"/>
      <w:jc w:val="left"/>
      <w:outlineLvl w:val="2"/>
    </w:pPr>
    <w:rPr>
      <w:rFonts w:ascii="Arial" w:cs="Arial" w:eastAsia="黑体" w:hAnsi="Arial" w:hint="eastAsia"/>
      <w:b/>
      <w:bCs/>
      <w:color w:val="000000"/>
      <w:sz w:val="26"/>
      <w:szCs w:val="26"/>
    </w:rPr>
  </w:style>
  <w:style w:styleId="Heading4" w:type="paragraph">
    <w:name w:val="heading 4"/>
    <w:basedOn w:val="Normal"/>
    <w:next w:val="BodyText"/>
    <w:link w:val="Heading4Char"/>
    <w:uiPriority w:val="9"/>
    <w:qFormat/>
    <w:pPr>
      <w:keepNext/>
      <w:keepLines/>
      <w:spacing w:after="80" w:before="180" w:line="300" w:lineRule="auto"/>
      <w:ind w:firstLine="0" w:firstLineChars="0"/>
      <w:jc w:val="left"/>
      <w:outlineLvl w:val="3"/>
    </w:pPr>
    <w:rPr>
      <w:rFonts w:ascii="Arial" w:cs="Arial" w:eastAsia="黑体" w:hAnsi="Arial" w:hint="eastAsia"/>
      <w:b/>
      <w:bCs/>
      <w:color w:val="000000"/>
      <w:sz w:val="24"/>
      <w:szCs w:val="24"/>
    </w:rPr>
  </w:style>
  <w:style w:styleId="Heading5" w:type="paragraph">
    <w:name w:val="heading 5"/>
    <w:basedOn w:val="Normal"/>
    <w:next w:val="BodyText"/>
    <w:link w:val="Heading5Char"/>
    <w:uiPriority w:val="9"/>
    <w:qFormat/>
    <w:pPr>
      <w:keepNext/>
      <w:keepLines/>
      <w:spacing w:after="60" w:before="160" w:line="300" w:lineRule="auto"/>
      <w:ind w:firstLine="0" w:firstLineChars="0"/>
      <w:jc w:val="left"/>
      <w:outlineLvl w:val="4"/>
    </w:pPr>
    <w:rPr>
      <w:rFonts w:ascii="Arial" w:cs="Arial" w:eastAsia="黑体" w:hAnsi="Arial" w:hint="eastAsia"/>
      <w:b/>
      <w:bCs/>
      <w:color w:val="222222"/>
      <w:sz w:val="24"/>
      <w:szCs w:val="24"/>
    </w:rPr>
  </w:style>
  <w:style w:styleId="Heading6" w:type="paragraph">
    <w:name w:val="heading 6"/>
    <w:basedOn w:val="Normal"/>
    <w:next w:val="BodyText"/>
    <w:link w:val="Heading6Char"/>
    <w:uiPriority w:val="9"/>
    <w:qFormat/>
    <w:pPr>
      <w:keepNext/>
      <w:keepLines/>
      <w:spacing w:after="60" w:before="160" w:line="300" w:lineRule="auto"/>
      <w:ind w:firstLine="0" w:firstLineChars="0"/>
      <w:jc w:val="left"/>
      <w:outlineLvl w:val="5"/>
    </w:pPr>
    <w:rPr>
      <w:rFonts w:ascii="Arial" w:cs="Arial" w:eastAsia="黑体" w:hAnsi="Arial" w:hint="eastAsia"/>
      <w:b/>
      <w:bCs/>
      <w:color w:val="222222"/>
      <w:sz w:val="24"/>
      <w:szCs w:val="24"/>
    </w:rPr>
  </w:style>
  <w:style w:styleId="Heading7" w:type="paragraph">
    <w:name w:val="heading 7"/>
    <w:basedOn w:val="Normal"/>
    <w:next w:val="BodyText"/>
    <w:link w:val="Heading7Char"/>
    <w:uiPriority w:val="9"/>
    <w:qFormat/>
    <w:pPr>
      <w:keepNext/>
      <w:keepLines/>
      <w:spacing w:after="60" w:before="120" w:line="300" w:lineRule="auto"/>
      <w:ind w:firstLine="0" w:firstLineChars="0"/>
      <w:jc w:val="left"/>
      <w:outlineLvl w:val="6"/>
    </w:pPr>
    <w:rPr>
      <w:rFonts w:ascii="Arial" w:cs="Arial" w:eastAsia="黑体" w:hAnsi="Arial" w:hint="eastAsia"/>
      <w:b/>
      <w:bCs/>
      <w:color w:val="222222"/>
      <w:sz w:val="24"/>
      <w:szCs w:val="24"/>
    </w:rPr>
  </w:style>
  <w:style w:styleId="Heading8" w:type="paragraph">
    <w:name w:val="heading 8"/>
    <w:basedOn w:val="Normal"/>
    <w:next w:val="BodyText"/>
    <w:link w:val="Heading8Char"/>
    <w:uiPriority w:val="9"/>
    <w:qFormat/>
    <w:pPr>
      <w:keepNext/>
      <w:keepLines/>
      <w:spacing w:after="60" w:before="120" w:line="300" w:lineRule="auto"/>
      <w:ind w:firstLine="0" w:firstLineChars="0"/>
      <w:jc w:val="left"/>
      <w:outlineLvl w:val="7"/>
    </w:pPr>
    <w:rPr>
      <w:rFonts w:ascii="Arial" w:cs="Arial" w:eastAsia="黑体" w:hAnsi="Arial" w:hint="eastAsia"/>
      <w:b/>
      <w:bCs/>
      <w:color w:val="222222"/>
      <w:sz w:val="24"/>
      <w:szCs w:val="24"/>
    </w:rPr>
  </w:style>
  <w:style w:styleId="Heading9" w:type="paragraph">
    <w:name w:val="heading 9"/>
    <w:basedOn w:val="Normal"/>
    <w:next w:val="BodyText"/>
    <w:link w:val="Heading9Char"/>
    <w:uiPriority w:val="9"/>
    <w:qFormat/>
    <w:pPr>
      <w:keepNext/>
      <w:keepLines/>
      <w:spacing w:after="60" w:before="120" w:line="300" w:lineRule="auto"/>
      <w:ind w:firstLine="0" w:firstLineChars="0"/>
      <w:jc w:val="left"/>
      <w:outlineLvl w:val="8"/>
    </w:pPr>
    <w:rPr>
      <w:rFonts w:ascii="Arial" w:cs="Arial" w:eastAsia="黑体" w:hAnsi="Arial" w:hint="eastAsia"/>
      <w:b/>
      <w:bCs/>
      <w:color w:val="222222"/>
      <w:sz w:val="24"/>
      <w:szCs w:val="24"/>
    </w:rPr>
  </w:style>
  <w:style w:customStyle="1" w:styleId="Heading1Char" w:type="character">
    <w:name w:val="Heading 1 Char"/>
    <w:rPr>
      <w:rFonts w:ascii="Arial" w:cs="Arial" w:eastAsia="黑体" w:hAnsi="Arial" w:hint="eastAsia"/>
      <w:b/>
      <w:bCs/>
      <w:color w:val="000000"/>
      <w:sz w:val="32"/>
    </w:rPr>
  </w:style>
  <w:style w:customStyle="1" w:styleId="Heading2Char" w:type="character">
    <w:name w:val="Heading 2 Char"/>
    <w:rPr>
      <w:rFonts w:ascii="Arial" w:cs="Arial" w:eastAsia="黑体" w:hAnsi="Arial" w:hint="eastAsia"/>
      <w:b/>
      <w:bCs/>
      <w:color w:val="000000"/>
      <w:sz w:val="28"/>
    </w:rPr>
  </w:style>
  <w:style w:customStyle="1" w:styleId="Heading3Char" w:type="character">
    <w:name w:val="Heading 3 Char"/>
    <w:rPr>
      <w:rFonts w:ascii="Arial" w:cs="Arial" w:eastAsia="黑体" w:hAnsi="Arial" w:hint="eastAsia"/>
      <w:b/>
      <w:bCs/>
      <w:color w:val="000000"/>
      <w:sz w:val="26"/>
    </w:rPr>
  </w:style>
  <w:style w:customStyle="1" w:styleId="Heading4Char" w:type="character">
    <w:name w:val="Heading 4 Char"/>
    <w:rPr>
      <w:rFonts w:ascii="Arial" w:cs="Arial" w:eastAsia="黑体" w:hAnsi="Arial" w:hint="eastAsia"/>
      <w:b/>
      <w:bCs/>
      <w:color w:val="000000"/>
      <w:sz w:val="24"/>
    </w:rPr>
  </w:style>
  <w:style w:customStyle="1" w:styleId="Heading5Char" w:type="character">
    <w:name w:val="Heading 5 Char"/>
    <w:rPr>
      <w:rFonts w:ascii="Arial" w:cs="Arial" w:eastAsia="黑体" w:hAnsi="Arial" w:hint="eastAsia"/>
      <w:b/>
      <w:bCs/>
      <w:color w:val="222222"/>
      <w:sz w:val="24"/>
    </w:rPr>
  </w:style>
  <w:style w:customStyle="1" w:styleId="Heading6Char" w:type="character">
    <w:name w:val="Heading 6 Char"/>
    <w:rPr>
      <w:rFonts w:ascii="Arial" w:cs="Arial" w:eastAsia="黑体" w:hAnsi="Arial" w:hint="eastAsia"/>
      <w:b/>
      <w:bCs/>
      <w:color w:val="222222"/>
      <w:sz w:val="24"/>
    </w:rPr>
  </w:style>
  <w:style w:customStyle="1" w:styleId="Heading7Char" w:type="character">
    <w:name w:val="Heading 7 Char"/>
    <w:rPr>
      <w:rFonts w:ascii="Arial" w:cs="Arial" w:eastAsia="黑体" w:hAnsi="Arial" w:hint="eastAsia"/>
      <w:b/>
      <w:bCs/>
      <w:color w:val="222222"/>
      <w:sz w:val="24"/>
    </w:rPr>
  </w:style>
  <w:style w:customStyle="1" w:styleId="Heading8Char" w:type="character">
    <w:name w:val="Heading 8 Char"/>
    <w:rPr>
      <w:rFonts w:ascii="Arial" w:cs="Arial" w:eastAsia="黑体" w:hAnsi="Arial" w:hint="eastAsia"/>
      <w:b/>
      <w:bCs/>
      <w:color w:val="222222"/>
      <w:sz w:val="24"/>
    </w:rPr>
  </w:style>
  <w:style w:customStyle="1" w:styleId="Heading9Char" w:type="character">
    <w:name w:val="Heading 9 Char"/>
    <w:rPr>
      <w:rFonts w:ascii="Arial" w:cs="Arial" w:eastAsia="黑体" w:hAnsi="Arial" w:hint="eastAsia"/>
      <w:b/>
      <w:bCs/>
      <w:color w:val="222222"/>
      <w:sz w:val="24"/>
    </w:rPr>
  </w:style>
  <w:style w:styleId="BlockText" w:type="paragraph">
    <w:name w:val="Block Text"/>
    <w:basedOn w:val="BodyText"/>
    <w:next w:val="BodyText"/>
    <w:qFormat/>
    <w:pPr>
      <w:pBdr>
        <w:left w:color="000000" w:space="8" w:sz="18" w:val="single"/>
      </w:pBdr>
      <w:shd w:color="auto" w:fill="E0E0E0" w:val="clear"/>
      <w:spacing w:after="60" w:before="60"/>
      <w:ind w:firstLine="0" w:firstLineChars="0" w:left="300" w:right="200"/>
    </w:pPr>
    <w:rPr>
      <w:color w:val="6B7280"/>
    </w:rPr>
  </w:style>
  <w:style w:styleId="FootnoteText" w:type="paragraph">
    <w:name w:val="footnote text"/>
    <w:basedOn w:val="Normal"/>
    <w:qFormat/>
    <w:pPr>
      <w:spacing w:after="40" w:line="260" w:lineRule="auto"/>
    </w:pPr>
    <w:rPr>
      <w:sz w:val="20"/>
      <w:szCs w:val="20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customStyle="1" w:styleId="DefinitionTerm" w:type="paragraph">
    <w:name w:val="Definition Term"/>
    <w:basedOn w:val="Normal"/>
    <w:next w:val="Definition"/>
    <w:qFormat/>
    <w:pPr>
      <w:keepNext/>
      <w:spacing w:after="0" w:before="80"/>
      <w:ind w:firstLine="0" w:firstLineChars="0"/>
    </w:pPr>
    <w:rPr>
      <w:rFonts w:ascii="Arial" w:cs="Arial" w:eastAsia="黑体" w:hAnsi="Arial" w:hint="eastAsia"/>
      <w:b/>
      <w:color w:val="000000"/>
    </w:rPr>
  </w:style>
  <w:style w:customStyle="1" w:styleId="Definition" w:type="paragraph">
    <w:name w:val="Definition"/>
    <w:basedOn w:val="Normal"/>
    <w:qFormat/>
    <w:pPr>
      <w:spacing w:after="80" w:before="0"/>
      <w:ind w:firstLine="0" w:firstLineChars="0" w:left="420"/>
    </w:pPr>
  </w:style>
  <w:style w:styleId="Caption" w:type="paragraph">
    <w:name w:val="caption"/>
    <w:basedOn w:val="Normal"/>
    <w:next w:val="BodyText"/>
    <w:qFormat/>
    <w:pPr>
      <w:spacing w:after="200" w:before="60"/>
      <w:ind w:firstLine="0" w:firstLineChars="0"/>
      <w:jc w:val="center"/>
    </w:pPr>
    <w:rPr>
      <w:color w:val="6B7280"/>
      <w:sz w:val="21"/>
      <w:szCs w:val="21"/>
    </w:rPr>
  </w:style>
  <w:style w:customStyle="1" w:styleId="TableCaption" w:type="paragraph">
    <w:name w:val="Table Caption"/>
    <w:basedOn w:val="Caption"/>
    <w:qFormat/>
    <w:pPr>
      <w:keepNext/>
      <w:spacing w:after="80" w:before="200"/>
      <w:jc w:val="center"/>
    </w:pPr>
  </w:style>
  <w:style w:customStyle="1" w:styleId="ImageCaption" w:type="paragraph">
    <w:name w:val="Image Caption"/>
    <w:basedOn w:val="Caption"/>
    <w:qFormat/>
  </w:style>
  <w:style w:customStyle="1" w:styleId="Figure" w:type="paragraph">
    <w:name w:val="Figure"/>
    <w:basedOn w:val="Normal"/>
    <w:qFormat/>
    <w:pPr>
      <w:spacing w:after="60" w:before="120" w:line="240" w:lineRule="auto"/>
      <w:ind w:firstLine="0" w:firstLineChars="0"/>
      <w:jc w:val="center"/>
    </w:pPr>
  </w:style>
  <w:style w:customStyle="1" w:styleId="CaptionedFigure" w:type="paragraph">
    <w:name w:val="Captioned Figure"/>
    <w:basedOn w:val="Figure"/>
    <w:qFormat/>
    <w:pPr>
      <w:keepNext/>
    </w:pPr>
  </w:style>
  <w:style w:customStyle="1" w:styleId="BodyTextChar" w:type="character">
    <w:name w:val="Body Text Char"/>
    <w:rPr/>
  </w:style>
  <w:style w:customStyle="1" w:styleId="VerbatimChar" w:type="character">
    <w:name w:val="Verbatim Char"/>
    <w:rPr>
      <w:rFonts w:ascii="Consolas" w:cs="Consolas" w:eastAsia="黑体" w:hAnsi="Consolas" w:hint="eastAsia"/>
      <w:sz w:val="22"/>
      <w:shd w:color="auto" w:fill="F6F8FA" w:val="clear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rPr>
      <w:color w:val="333333"/>
      <w:u w:val="single"/>
    </w:rPr>
  </w:style>
  <w:style w:styleId="TOCHeading" w:type="paragraph">
    <w:name w:val="TOC Heading"/>
    <w:basedOn w:val="Heading1"/>
    <w:next w:val="BodyText"/>
    <w:qFormat/>
    <w:pPr>
      <w:pBdr/>
      <w:jc w:val="center"/>
      <w:outlineLvl w:val="9"/>
    </w:pPr>
  </w:style>
  <w:style w:customStyle="1" w:styleId="DFTableText" w:type="paragraph">
    <w:name w:val="Table Text"/>
    <w:basedOn w:val="Compact"/>
    <w:qFormat/>
    <w:pPr>
      <w:spacing w:after="20" w:before="20" w:line="408" w:lineRule="atLeast"/>
    </w:pPr>
    <w:rPr>
      <w:sz w:val="22"/>
      <w:szCs w:val="22"/>
    </w:rPr>
  </w:style>
  <w:style w:customStyle="1" w:styleId="SourceCode" w:type="paragraph">
    <w:name w:val="Source Code"/>
    <w:basedOn w:val="Normal"/>
    <w:qFormat/>
    <w:pPr>
      <w:pBdr>
        <w:top w:color="000000" w:space="4" w:sz="4" w:val="single"/>
        <w:left w:color="000000" w:space="4" w:sz="4" w:val="single"/>
        <w:bottom w:color="000000" w:space="4" w:sz="4" w:val="single"/>
        <w:right w:color="000000" w:space="4" w:sz="4" w:val="single"/>
      </w:pBdr>
      <w:shd w:color="auto" w:fill="F6F8FA" w:val="clear"/>
      <w:wordWrap w:val="0"/>
      <w:spacing w:after="120" w:before="120" w:line="260" w:lineRule="auto"/>
      <w:jc w:val="left"/>
    </w:pPr>
    <w:rPr>
      <w:rFonts w:ascii="Consolas" w:cs="Consolas" w:eastAsia="黑体" w:hAnsi="Consolas" w:hint="eastAsia"/>
      <w:sz w:val="21"/>
    </w:rPr>
  </w:style>
  <w:style w:customStyle="1" w:styleId="DFEquation" w:type="paragraph">
    <w:name w:val="DF Equation"/>
    <w:basedOn w:val="Normal"/>
    <w:qFormat/>
    <w:pPr>
      <w:keepLines/>
      <w:tabs>
        <w:tab w:pos="4535" w:val="center"/>
        <w:tab w:pos="9071" w:val="right"/>
      </w:tabs>
      <w:spacing w:after="120" w:before="120" w:line="240" w:lineRule="auto"/>
      <w:ind w:firstLine="0" w:firstLineChars="0"/>
      <w:jc w:val="left"/>
    </w:pPr>
  </w:style>
  <w:style w:styleId="TOC1" w:type="paragraph">
    <w:name w:val="toc 1"/>
    <w:basedOn w:val="Normal"/>
    <w:next w:val="BodyText"/>
    <w:qFormat/>
    <w:pPr>
      <w:spacing w:after="40" w:before="40"/>
      <w:ind w:left="0"/>
    </w:pPr>
    <w:rPr>
      <w:b/>
    </w:rPr>
  </w:style>
  <w:style w:styleId="TOC2" w:type="paragraph">
    <w:name w:val="toc 2"/>
    <w:basedOn w:val="Normal"/>
    <w:next w:val="BodyText"/>
    <w:qFormat/>
    <w:pPr>
      <w:spacing w:after="40" w:before="40"/>
      <w:ind w:left="420"/>
    </w:pPr>
  </w:style>
  <w:style w:styleId="TOC3" w:type="paragraph">
    <w:name w:val="toc 3"/>
    <w:basedOn w:val="Normal"/>
    <w:next w:val="BodyText"/>
    <w:qFormat/>
    <w:pPr>
      <w:spacing w:after="40" w:before="40"/>
      <w:ind w:left="840"/>
    </w:pPr>
  </w:style>
  <w:style w:type="character" w:customStyle="1" w:styleId="KeywordTok">
    <w:name w:val="KeywordTok"/>
    <w:basedOn w:val="VerbatimChar"/>
    <w:rPr>
      <w:b/>
      <w:color w:val="204a87"/>
      <w:shd w:val="clear" w:fill="f8f8f8"/>
    </w:rPr>
  </w:style>
  <w:style w:type="character" w:customStyle="1" w:styleId="DataTypeTok">
    <w:name w:val="DataTypeTok"/>
    <w:basedOn w:val="VerbatimChar"/>
    <w:rPr>
      <w:color w:val="204a87"/>
      <w:shd w:val="clear" w:fill="f8f8f8"/>
    </w:rPr>
  </w:style>
  <w:style w:type="character" w:customStyle="1" w:styleId="DecValTok">
    <w:name w:val="DecValTok"/>
    <w:basedOn w:val="VerbatimChar"/>
    <w:rPr>
      <w:color w:val="0000cf"/>
      <w:shd w:val="clear" w:fill="f8f8f8"/>
    </w:rPr>
  </w:style>
  <w:style w:type="character" w:customStyle="1" w:styleId="BaseNTok">
    <w:name w:val="BaseNTok"/>
    <w:basedOn w:val="VerbatimChar"/>
    <w:rPr>
      <w:color w:val="0000cf"/>
      <w:shd w:val="clear" w:fill="f8f8f8"/>
    </w:rPr>
  </w:style>
  <w:style w:type="character" w:customStyle="1" w:styleId="FloatTok">
    <w:name w:val="FloatTok"/>
    <w:basedOn w:val="VerbatimChar"/>
    <w:rPr>
      <w:color w:val="0000cf"/>
      <w:shd w:val="clear" w:fill="f8f8f8"/>
    </w:rPr>
  </w:style>
  <w:style w:type="character" w:customStyle="1" w:styleId="ConstantTok">
    <w:name w:val="ConstantTok"/>
    <w:basedOn w:val="VerbatimChar"/>
    <w:rPr>
      <w:color w:val="8f5902"/>
      <w:shd w:val="clear" w:fill="f8f8f8"/>
    </w:rPr>
  </w:style>
  <w:style w:type="character" w:customStyle="1" w:styleId="CharTok">
    <w:name w:val="CharTok"/>
    <w:basedOn w:val="VerbatimChar"/>
    <w:rPr>
      <w:color w:val="4e9a06"/>
      <w:shd w:val="clear" w:fill="f8f8f8"/>
    </w:rPr>
  </w:style>
  <w:style w:type="character" w:customStyle="1" w:styleId="SpecialCharTok">
    <w:name w:val="SpecialCharTok"/>
    <w:basedOn w:val="VerbatimChar"/>
    <w:rPr>
      <w:b/>
      <w:color w:val="ce5c00"/>
      <w:shd w:val="clear" w:fill="f8f8f8"/>
    </w:rPr>
  </w:style>
  <w:style w:type="character" w:customStyle="1" w:styleId="StringTok">
    <w:name w:val="StringTok"/>
    <w:basedOn w:val="VerbatimChar"/>
    <w:rPr>
      <w:color w:val="4e9a06"/>
      <w:shd w:val="clear" w:fill="f8f8f8"/>
    </w:rPr>
  </w:style>
  <w:style w:type="character" w:customStyle="1" w:styleId="VerbatimStringTok">
    <w:name w:val="VerbatimStringTok"/>
    <w:basedOn w:val="VerbatimChar"/>
    <w:rPr>
      <w:color w:val="4e9a06"/>
      <w:shd w:val="clear" w:fill="f8f8f8"/>
    </w:rPr>
  </w:style>
  <w:style w:type="character" w:customStyle="1" w:styleId="SpecialStringTok">
    <w:name w:val="SpecialStringTok"/>
    <w:basedOn w:val="VerbatimChar"/>
    <w:rPr>
      <w:color w:val="4e9a06"/>
      <w:shd w:val="clear" w:fill="f8f8f8"/>
    </w:rPr>
  </w:style>
  <w:style w:type="character" w:customStyle="1" w:styleId="ImportTok">
    <w:name w:val="ImportTok"/>
    <w:basedOn w:val="VerbatimChar"/>
    <w:rPr>
      <w:shd w:val="clear" w:fill="f8f8f8"/>
    </w:rPr>
  </w:style>
  <w:style w:type="character" w:customStyle="1" w:styleId="CommentTok">
    <w:name w:val="CommentTok"/>
    <w:basedOn w:val="VerbatimChar"/>
    <w:rPr>
      <w:i/>
      <w:color w:val="8f5902"/>
      <w:shd w:val="clear" w:fill="f8f8f8"/>
    </w:rPr>
  </w:style>
  <w:style w:type="character" w:customStyle="1" w:styleId="DocumentationTok">
    <w:name w:val="DocumentationTok"/>
    <w:basedOn w:val="VerbatimChar"/>
    <w:rPr>
      <w:b/>
      <w:i/>
      <w:color w:val="8f5902"/>
      <w:shd w:val="clear" w:fill="f8f8f8"/>
    </w:rPr>
  </w:style>
  <w:style w:type="character" w:customStyle="1" w:styleId="AnnotationTok">
    <w:name w:val="AnnotationTok"/>
    <w:basedOn w:val="VerbatimChar"/>
    <w:rPr>
      <w:b/>
      <w:i/>
      <w:color w:val="8f5902"/>
      <w:shd w:val="clear" w:fill="f8f8f8"/>
    </w:rPr>
  </w:style>
  <w:style w:type="character" w:customStyle="1" w:styleId="CommentVarTok">
    <w:name w:val="CommentVarTok"/>
    <w:basedOn w:val="VerbatimChar"/>
    <w:rPr>
      <w:b/>
      <w:i/>
      <w:color w:val="8f5902"/>
      <w:shd w:val="clear" w:fill="f8f8f8"/>
    </w:rPr>
  </w:style>
  <w:style w:type="character" w:customStyle="1" w:styleId="OtherTok">
    <w:name w:val="OtherTok"/>
    <w:basedOn w:val="VerbatimChar"/>
    <w:rPr>
      <w:color w:val="8f5902"/>
      <w:shd w:val="clear" w:fill="f8f8f8"/>
    </w:rPr>
  </w:style>
  <w:style w:type="character" w:customStyle="1" w:styleId="FunctionTok">
    <w:name w:val="FunctionTok"/>
    <w:basedOn w:val="VerbatimChar"/>
    <w:rPr>
      <w:b/>
      <w:color w:val="204a87"/>
      <w:shd w:val="clear" w:fill="f8f8f8"/>
    </w:rPr>
  </w:style>
  <w:style w:type="character" w:customStyle="1" w:styleId="VariableTok">
    <w:name w:val="VariableTok"/>
    <w:basedOn w:val="VerbatimChar"/>
    <w:rPr>
      <w:color w:val="000000"/>
      <w:shd w:val="clear" w:fill="f8f8f8"/>
    </w:rPr>
  </w:style>
  <w:style w:type="character" w:customStyle="1" w:styleId="ControlFlowTok">
    <w:name w:val="ControlFlowTok"/>
    <w:basedOn w:val="VerbatimChar"/>
    <w:rPr>
      <w:b/>
      <w:color w:val="204a87"/>
      <w:shd w:val="clear" w:fill="f8f8f8"/>
    </w:rPr>
  </w:style>
  <w:style w:type="character" w:customStyle="1" w:styleId="OperatorTok">
    <w:name w:val="OperatorTok"/>
    <w:basedOn w:val="VerbatimChar"/>
    <w:rPr>
      <w:b/>
      <w:color w:val="ce5c00"/>
      <w:shd w:val="clear" w:fill="f8f8f8"/>
    </w:rPr>
  </w:style>
  <w:style w:type="character" w:customStyle="1" w:styleId="BuiltInTok">
    <w:name w:val="BuiltInTok"/>
    <w:basedOn w:val="VerbatimChar"/>
    <w:rPr>
      <w:shd w:val="clear" w:fill="f8f8f8"/>
    </w:rPr>
  </w:style>
  <w:style w:type="character" w:customStyle="1" w:styleId="ExtensionTok">
    <w:name w:val="ExtensionTok"/>
    <w:basedOn w:val="VerbatimChar"/>
    <w:rPr>
      <w:shd w:val="clear" w:fill="f8f8f8"/>
    </w:rPr>
  </w:style>
  <w:style w:type="character" w:customStyle="1" w:styleId="PreprocessorTok">
    <w:name w:val="PreprocessorTok"/>
    <w:basedOn w:val="VerbatimChar"/>
    <w:rPr>
      <w:i/>
      <w:color w:val="8f5902"/>
      <w:shd w:val="clear" w:fill="f8f8f8"/>
    </w:rPr>
  </w:style>
  <w:style w:type="character" w:customStyle="1" w:styleId="AttributeTok">
    <w:name w:val="AttributeTok"/>
    <w:basedOn w:val="VerbatimChar"/>
    <w:rPr>
      <w:color w:val="204a87"/>
      <w:shd w:val="clear" w:fill="f8f8f8"/>
    </w:rPr>
  </w:style>
  <w:style w:type="character" w:customStyle="1" w:styleId="RegionMarkerTok">
    <w:name w:val="RegionMarkerTok"/>
    <w:basedOn w:val="VerbatimChar"/>
    <w:rPr>
      <w:shd w:val="clear" w:fill="f8f8f8"/>
    </w:rPr>
  </w:style>
  <w:style w:type="character" w:customStyle="1" w:styleId="InformationTok">
    <w:name w:val="InformationTok"/>
    <w:basedOn w:val="VerbatimChar"/>
    <w:rPr>
      <w:b/>
      <w:i/>
      <w:color w:val="8f5902"/>
      <w:shd w:val="clear" w:fill="f8f8f8"/>
    </w:rPr>
  </w:style>
  <w:style w:type="character" w:customStyle="1" w:styleId="WarningTok">
    <w:name w:val="WarningTok"/>
    <w:basedOn w:val="VerbatimChar"/>
    <w:rPr>
      <w:b/>
      <w:i/>
      <w:color w:val="8f5902"/>
      <w:shd w:val="clear" w:fill="f8f8f8"/>
    </w:rPr>
  </w:style>
  <w:style w:type="character" w:customStyle="1" w:styleId="AlertTok">
    <w:name w:val="AlertTok"/>
    <w:basedOn w:val="VerbatimChar"/>
    <w:rPr>
      <w:color w:val="ef2929"/>
      <w:shd w:val="clear" w:fill="f8f8f8"/>
    </w:rPr>
  </w:style>
  <w:style w:type="character" w:customStyle="1" w:styleId="ErrorTok">
    <w:name w:val="ErrorTok"/>
    <w:basedOn w:val="VerbatimChar"/>
    <w:rPr>
      <w:b/>
      <w:color w:val="a40000"/>
      <w:shd w:val="clear" w:fill="f8f8f8"/>
    </w:rPr>
  </w:style>
  <w:style w:type="character" w:customStyle="1" w:styleId="NormalTok">
    <w:name w:val="NormalTok"/>
    <w:basedOn w:val="VerbatimChar"/>
    <w:rPr>
      <w:shd w:val="clear" w:fill="f8f8f8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DfFooter1" Target="footer1.xml" Type="http://schemas.openxmlformats.org/officeDocument/2006/relationships/footer" /><Relationship Type="http://schemas.openxmlformats.org/officeDocument/2006/relationships/header" Id="rIdDfHeader1" Target="header1.xml"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rial" panose="02110004020202020204"/>
        <a:ea typeface="黑体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Times New Roman" panose="02110004020202020204"/>
        <a:ea typeface="宋体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Spatial Variation of Housing Prices and Its Drivers</dc:title>
  <dc:creator>Ming Wang, Hua Li</dc:creator>
  <dc:language>en-US</dc:language>
  <cp:keywords/>
  <dcterms:created xsi:type="dcterms:W3CDTF">2026-10-27T10:30:14Z</dcterms:created>
  <dcterms:modified xsi:type="dcterms:W3CDTF">2026-10-27T10:30:14Z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bstract">
    <vt:lpwstr>Using housing transactions from 36 cities between 2020 and 2025, we estimate a hedonic price model of location, amenities and building age. A one-standard-deviation increase in rail-transit access raises the unit price by about 6.8%.</vt:lpwstr>
  </property>
  <property fmtid="{D5CDD505-2E9C-101B-9397-08002B2CF9AE}" pid="3" name="bibliography">
    <vt:lpwstr/>
  </property>
  <property fmtid="{D5CDD505-2E9C-101B-9397-08002B2CF9AE}" pid="4" name="csl">
    <vt:lpwstr>/Users/arthur/business-os/md-to-pdf-word/src/docforge/assets/csl/gb-t-7714-2015-numeric.csl</vt:lpwstr>
  </property>
  <property fmtid="{D5CDD505-2E9C-101B-9397-08002B2CF9AE}" pid="5" name="date">
    <vt:lpwstr>September 2026</vt:lpwstr>
  </property>
  <property fmtid="{D5CDD505-2E9C-101B-9397-08002B2CF9AE}" pid="6" name="link-citations">
    <vt:lpwstr>True</vt:lpwstr>
  </property>
</Properties>
</file>