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n-US"/>
        </w:rPr>
        <w:t xml:space="preserve">Design: Rate Limiting for the Export API</w:t>
      </w:r>
    </w:p>
    <w:p>
      <w:pPr>
        <w:pStyle w:val="Subtitle"/>
      </w:pPr>
      <w:r>
        <w:rPr>
          <w:lang w:val="en-US"/>
        </w:rPr>
        <w:t xml:space="preserve">Engineering design document · RFC-0142</w:t>
      </w:r>
    </w:p>
    <w:p>
      <w:pPr>
        <w:pStyle w:val="Author"/>
      </w:pPr>
      <w:r>
        <w:rPr>
          <w:lang w:val="en-US"/>
        </w:rPr>
        <w:t xml:space="preserve">Platform Team</w:t>
      </w:r>
    </w:p>
    <w:p>
      <w:pPr>
        <w:pStyle w:val="Date"/>
      </w:pPr>
      <w:r>
        <w:rPr>
          <w:lang w:val="en-US"/>
        </w:rPr>
        <w:t xml:space="preserve">2026-10-20</w:t>
      </w:r>
    </w:p>
    <w:p>
      <w:pPr>
        <w:pStyle w:val="Heading1"/>
      </w:pPr>
      <w:bookmarkStart w:id="9" w:name="summary"/>
      <w:r>
        <w:rPr>
          <w:lang w:val="en-US"/>
        </w:rPr>
        <w:t xml:space="preserve">Summary</w:t>
      </w:r>
      <w:bookmarkEnd w:id="9"/>
    </w:p>
    <w:p>
      <w:pPr>
        <w:pStyle w:val="FirstParagraph"/>
      </w:pPr>
      <w:r>
        <w:rPr>
          <w:lang w:val="en-US"/>
        </w:rPr>
        <w:t xml:space="preserve">The export API has no per-client limit today. A single client running a backfill can take most of the worker pool and slow everyone else down. This document proposes a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token-bucket rate limiter</w:t>
      </w:r>
      <w:r>
        <w:rPr>
          <w:lang w:val="en-US"/>
        </w:rPr>
        <w:t xml:space="preserve"> </w:t>
      </w:r>
      <w:r>
        <w:rPr>
          <w:lang w:val="en-US"/>
        </w:rPr>
        <w:t xml:space="preserve">at the gateway, with limits set per API key.</w:t>
      </w:r>
    </w:p>
    <w:p>
      <w:pPr>
        <w:pStyle w:val="DFPara2"/>
      </w:pPr>
      <w:r>
        <w:rPr>
          <w:b/>
          <w:bCs/>
          <w:lang w:val="en-US"/>
        </w:rPr>
        <w:t xml:space="preserve">Important</w:t>
      </w:r>
    </w:p>
    <w:p>
      <w:pPr>
        <w:pStyle w:val="DFPara1"/>
      </w:pPr>
      <w:r>
        <w:rPr>
          <w:lang w:val="en-US"/>
        </w:rPr>
        <w:t xml:space="preserve">Status: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approved</w:t>
      </w:r>
      <w:r>
        <w:rPr>
          <w:lang w:val="en-US"/>
        </w:rPr>
        <w:t xml:space="preserve"> </w:t>
      </w:r>
      <w:r>
        <w:rPr>
          <w:lang w:val="en-US"/>
        </w:rPr>
        <w:t xml:space="preserve">for implementation in the November release.</w:t>
      </w:r>
    </w:p>
    <w:p>
      <w:pPr>
        <w:pStyle w:val="Heading1"/>
      </w:pPr>
      <w:bookmarkStart w:id="10" w:name="goals_and_non_goals"/>
      <w:r>
        <w:rPr>
          <w:lang w:val="en-US"/>
        </w:rPr>
        <w:t xml:space="preserve">Goals and non-goals</w:t>
      </w:r>
      <w:bookmarkEnd w:id="10"/>
    </w:p>
    <w:p>
      <w:pPr>
        <w:pStyle w:val="FirstParagraph"/>
      </w:pPr>
      <w:r>
        <w:rPr>
          <w:b/>
          <w:bCs/>
          <w:lang w:val="en-US"/>
        </w:rPr>
        <w:t xml:space="preserve">Goals</w:t>
      </w:r>
    </w:p>
    <w:p>
      <w:pPr>
        <w:pStyle w:val="Compact"/>
        <w:numPr>
          <w:ilvl w:val="0"/>
          <w:numId w:val="1001"/>
        </w:numPr>
      </w:pPr>
      <w:r>
        <w:rPr>
          <w:lang w:val="en-US"/>
        </w:rPr>
        <w:t xml:space="preserve">Keep the export API’s p95 latency below 800 ms when one client sends ten times its usual load.</w:t>
      </w:r>
    </w:p>
    <w:p>
      <w:pPr>
        <w:pStyle w:val="Compact"/>
        <w:numPr>
          <w:ilvl w:val="0"/>
          <w:numId w:val="1001"/>
        </w:numPr>
      </w:pPr>
      <w:r>
        <w:rPr>
          <w:lang w:val="en-US"/>
        </w:rPr>
        <w:t xml:space="preserve">Give every client a clear, documented limit and a standard</w:t>
      </w:r>
      <w:r>
        <w:rPr>
          <w:lang w:val="en-US"/>
        </w:rPr>
        <w:t xml:space="preserve"> </w:t>
      </w:r>
      <w:r>
        <w:rPr>
          <w:rStyle w:val="VerbatimChar"/>
          <w:lang w:val="en-US"/>
        </w:rPr>
        <w:t xml:space="preserve">429</w:t>
      </w:r>
      <w:r>
        <w:rPr>
          <w:lang w:val="en-US"/>
        </w:rPr>
        <w:t xml:space="preserve"> </w:t>
      </w:r>
      <w:r>
        <w:rPr>
          <w:lang w:val="en-US"/>
        </w:rPr>
        <w:t xml:space="preserve">response with</w:t>
      </w:r>
      <w:r>
        <w:rPr>
          <w:lang w:val="en-US"/>
        </w:rPr>
        <w:t xml:space="preserve"> </w:t>
      </w:r>
      <w:r>
        <w:rPr>
          <w:rStyle w:val="VerbatimChar"/>
          <w:lang w:val="en-US"/>
        </w:rPr>
        <w:t xml:space="preserve">Retry-After</w:t>
      </w:r>
      <w:r>
        <w:rPr>
          <w:lang w:val="en-US"/>
        </w:rPr>
        <w:t xml:space="preserve">.</w:t>
      </w:r>
    </w:p>
    <w:p>
      <w:pPr>
        <w:pStyle w:val="FirstParagraph"/>
      </w:pPr>
      <w:r>
        <w:rPr>
          <w:b/>
          <w:bCs/>
          <w:lang w:val="en-US"/>
        </w:rPr>
        <w:t xml:space="preserve">Non-goals</w:t>
      </w:r>
    </w:p>
    <w:p>
      <w:pPr>
        <w:pStyle w:val="Compact"/>
        <w:numPr>
          <w:ilvl w:val="0"/>
          <w:numId w:val="1002"/>
        </w:numPr>
      </w:pPr>
      <w:r>
        <w:rPr>
          <w:lang w:val="en-US"/>
        </w:rPr>
        <w:t xml:space="preserve">Billing based on usage — handled separately in RFC-0137.</w:t>
      </w:r>
    </w:p>
    <w:p>
      <w:pPr>
        <w:pStyle w:val="Compact"/>
        <w:numPr>
          <w:ilvl w:val="0"/>
          <w:numId w:val="1002"/>
        </w:numPr>
      </w:pPr>
      <w:r>
        <w:rPr>
          <w:lang w:val="en-US"/>
        </w:rPr>
        <w:t xml:space="preserve">Limits inside the export workers themselves.</w:t>
      </w:r>
    </w:p>
    <w:p>
      <w:pPr>
        <w:pStyle w:val="Heading1"/>
      </w:pPr>
      <w:bookmarkStart w:id="14" w:name="design"/>
      <w:r>
        <w:rPr>
          <w:lang w:val="en-US"/>
        </w:rPr>
        <w:t xml:space="preserve">Design</w:t>
      </w:r>
      <w:bookmarkEnd w:id="14"/>
    </w:p>
    <w:p>
      <w:pPr>
        <w:pStyle w:val="FirstParagraph"/>
      </w:pPr>
      <w:r>
        <w:rPr>
          <w:lang w:val="en-US"/>
        </w:rPr>
        <w:t xml:space="preserve">Each API key has a bucket of capacity</w:t>
      </w:r>
      <w:r>
        <w:rPr>
          <w:lang w:val="en-US"/>
        </w:rPr>
        <w:t xml:space="preserve"> </w:t>
      </w:r>
      <m:oMath>
        <m:r>
          <m:t>C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that refills at</w:t>
      </w:r>
      <w:r>
        <w:rPr>
          <w:lang w:val="en-US"/>
        </w:rPr>
        <w:t xml:space="preserve"> </w:t>
      </w:r>
      <m:oMath>
        <m:r>
          <m:t>r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tokens per second. A request costs one token; an export of</w:t>
      </w:r>
      <w:r>
        <w:rPr>
          <w:lang w:val="en-US"/>
        </w:rPr>
        <w:t xml:space="preserve"> </w:t>
      </w:r>
      <m:oMath>
        <m:r>
          <m:t>n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pages costs</w:t>
      </w:r>
      <w:r>
        <w:rPr>
          <w:lang w:val="en-US"/>
        </w:rPr>
        <w:t xml:space="preserve"> </w:t>
      </w:r>
      <m:oMath>
        <m:r>
          <m:rPr>
            <m:sty m:val="p"/>
          </m:rPr>
          <m:t>⌈</m:t>
        </m:r>
        <m:r>
          <m:t>n</m:t>
        </m:r>
        <m:r>
          <m:rPr>
            <m:sty m:val="p"/>
          </m:rPr>
          <m:t>/</m:t>
        </m:r>
        <m:r>
          <m:t>50</m:t>
        </m:r>
        <m:r>
          <m:rPr>
            <m:sty m:val="p"/>
          </m:rPr>
          <m:t>⌉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tokens. The number of tokens available at time</w:t>
      </w:r>
      <w:r>
        <w:rPr>
          <w:lang w:val="en-US"/>
        </w:rPr>
        <w:t xml:space="preserve"> </w:t>
      </w:r>
      <m:oMath>
        <m:r>
          <m:t>t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is</w:t>
      </w:r>
    </w:p>
    <w:p>
      <w:pPr>
        <w:pStyle w:val="DFEquation"/>
      </w:pPr>
      <w:r>
        <w:tab/>
      </w:r>
      <m:oMath>
        <m:r>
          <m:t>B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min</m:t>
        </m:r>
        <m:d>
          <m:dPr>
            <m:begChr m:val="("/>
            <m:sepChr m:val=""/>
            <m:endChr m:val=")"/>
            <m:grow/>
          </m:dPr>
          <m:e>
            <m:r>
              <m:t>C</m:t>
            </m:r>
            <m:r>
              <m:rPr>
                <m:sty m:val="p"/>
              </m:rPr>
              <m:t>,</m:t>
            </m:r>
            <m:r>
              <m:t> </m:t>
            </m:r>
            <m:r>
              <m:t>B</m:t>
            </m:r>
            <m:r>
              <m:rPr>
                <m:sty m:val="p"/>
              </m:rPr>
              <m:t>(</m:t>
            </m:r>
            <m:sSub>
              <m:e>
                <m:r>
                  <m:t>t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)</m:t>
            </m:r>
            <m:r>
              <m:rPr>
                <m:sty m:val="p"/>
              </m:rPr>
              <m:t>+</m:t>
            </m:r>
            <m:r>
              <m:t>r</m:t>
            </m:r>
            <m:r>
              <m:t> </m:t>
            </m:r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−</m:t>
            </m:r>
            <m:sSub>
              <m:e>
                <m:r>
                  <m:t>t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)</m:t>
            </m:r>
          </m:e>
        </m:d>
      </m:oMath>
      <w:r>
        <w:tab/>
      </w:r>
      <w:bookmarkStart w:id="11" w:name="eq_bucket"/>
      <w:r>
        <w:rPr>
          <w:lang w:val="en-US"/>
        </w:rPr>
        <w:t xml:space="preserve">(1)</w:t>
      </w:r>
      <w:bookmarkEnd w:id="11"/>
    </w:p>
    <w:p>
      <w:pPr>
        <w:pStyle w:val="BodyText"/>
      </w:pPr>
      <w:r>
        <w:rPr>
          <w:lang w:val="en-US"/>
        </w:rPr>
        <w:t xml:space="preserve">A request is accepted when</w:t>
      </w:r>
      <w:r>
        <w:rPr>
          <w:lang w:val="en-US"/>
        </w:rPr>
        <w:t xml:space="preserve"> </w:t>
      </w:r>
      <m:oMath>
        <m:r>
          <m:t>B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in</w:t>
      </w:r>
      <w:r>
        <w:rPr>
          <w:lang w:val="en-US"/>
        </w:rPr>
        <w:t xml:space="preserve"> </w:t>
      </w:r>
      <w:hyperlink w:anchor="eq_bucket">
        <w:r>
          <w:rPr>
            <w:rStyle w:val="Hyperlink"/>
            <w:lang w:val="en-US"/>
          </w:rPr>
          <w:t xml:space="preserve">Eq. (1)</w:t>
        </w:r>
      </w:hyperlink>
      <w:r>
        <w:rPr>
          <w:lang w:val="en-US"/>
        </w:rPr>
        <w:t xml:space="preserve"> </w:t>
      </w:r>
      <w:r>
        <w:rPr>
          <w:lang w:val="en-US"/>
        </w:rPr>
        <w:t xml:space="preserve">is at least its cost.</w:t>
      </w:r>
    </w:p>
    <w:p>
      <w:pPr>
        <w:pStyle w:val="TableCaption"/>
      </w:pPr>
      <w:bookmarkStart w:id="13" w:name="tbl_limits"/>
      <w:bookmarkStart w:id="12" w:name="tbl_limits"/>
      <w:r>
        <w:rPr>
          <w:lang w:val="en-US"/>
        </w:rPr>
        <w:t xml:space="preserve">Table </w:t>
      </w:r>
      <w:fldSimple w:instr="SEQ Table \* ARABIC ">
        <w:r>
          <w:t>1</w:t>
        </w:r>
      </w:fldSimple>
      <w:bookmarkEnd w:id="12"/>
      <w:r>
        <w:rPr>
          <w:lang w:val="en-US"/>
        </w:rPr>
        <w:t xml:space="preserve">. Default limits per plan</w:t>
      </w:r>
      <w:bookmarkEnd w:id="13"/>
    </w:p>
    <w:tbl>
      <w:tblPr>
        <w:tblStyle w:val="Table"/>
        <w:tblW w:type="dxa" w:w="6497"/>
        <w:jc w:val="center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Default limits per plan"/>
      </w:tblPr>
      <w:tblGrid>
        <w:gridCol w:w="1320"/>
        <w:gridCol w:w="1320"/>
        <w:gridCol w:w="2233"/>
        <w:gridCol w:w="1624"/>
      </w:tblGrid>
      <w:tr>
        <w:trPr>
          <w:cantSplit/>
          <w:tblHeader w:val="on"/>
        </w:trPr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Plan</w:t>
            </w:r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en-US"/>
              </w:rPr>
              <w:t xml:space="preserve">Capacity</w:t>
            </w:r>
            <w:r>
              <w:rPr>
                <w:b/>
                <w:bCs/>
                <w:color w:val="FFFFFF"/>
                <w:lang w:val="en-US"/>
              </w:rPr>
              <w:t xml:space="preserve"> </w:t>
            </w:r>
            <m:oMath>
              <m:r>
                <m:t>C</m:t>
              </m:r>
            </m:oMath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en-US"/>
              </w:rPr>
              <w:t xml:space="preserve">Refill</w:t>
            </w:r>
            <w:r>
              <w:rPr>
                <w:b/>
                <w:bCs/>
                <w:color w:val="FFFFFF"/>
                <w:lang w:val="en-US"/>
              </w:rPr>
              <w:t xml:space="preserve"> </w:t>
            </w:r>
            <m:oMath>
              <m:r>
                <m:t>r</m:t>
              </m:r>
            </m:oMath>
            <w:r>
              <w:rPr>
                <w:b/>
                <w:bCs/>
                <w:color w:val="FFFFFF"/>
                <w:lang w:val="en-US"/>
              </w:rPr>
              <w:t xml:space="preserve"> </w:t>
            </w:r>
            <w:r>
              <w:rPr>
                <w:b/>
                <w:bCs/>
                <w:color w:val="FFFFFF"/>
                <w:lang w:val="en-US"/>
              </w:rPr>
              <w:t xml:space="preserve">(tokens/s)</w:t>
            </w:r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Burst allowed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Free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20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0.5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40 s of quota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Team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200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5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40 s of quota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Enterprise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2,000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50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40 s of quota</w:t>
            </w:r>
          </w:p>
        </w:tc>
      </w:tr>
    </w:tbl>
    <w:p>
      <w:pPr>
        <w:pStyle w:val="BodyText"/>
      </w:pPr>
      <w:r>
        <w:rPr>
          <w:lang w:val="en-US"/>
        </w:rPr>
        <w:t xml:space="preserve">The gateway keeps the buckets in Redis and updates them atomically:</w:t>
      </w:r>
    </w:p>
    <w:p>
      <w:pPr>
        <w:pStyle w:val="SourceCode"/>
      </w:pPr>
      <w:r>
        <w:rPr>
          <w:rStyle w:val="CommentTok"/>
        </w:rPr>
        <w:t xml:space="preserve">-- KEYS[1] = bucket key, ARGV = capacity, rate, now (s), cost</w:t>
      </w:r>
      <w:r>
        <w:br/>
      </w:r>
      <w:r>
        <w:rPr>
          <w:rStyle w:val="KeywordTok"/>
        </w:rPr>
        <w:t xml:space="preserve">local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cost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tonumber</w:t>
      </w:r>
      <w:r>
        <w:rPr>
          <w:rStyle w:val="OperatorTok"/>
        </w:rPr>
        <w:t xml:space="preserve">(</w:t>
      </w:r>
      <w:r>
        <w:rPr>
          <w:rStyle w:val="ConstantTok"/>
        </w:rPr>
        <w:t xml:space="preserve">ARGV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tonumber</w:t>
      </w:r>
      <w:r>
        <w:rPr>
          <w:rStyle w:val="OperatorTok"/>
        </w:rPr>
        <w:t xml:space="preserve">(</w:t>
      </w:r>
      <w:r>
        <w:rPr>
          <w:rStyle w:val="ConstantTok"/>
        </w:rPr>
        <w:t xml:space="preserve">ARGV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tonumber</w:t>
      </w:r>
      <w:r>
        <w:rPr>
          <w:rStyle w:val="OperatorTok"/>
        </w:rPr>
        <w:t xml:space="preserve">(</w:t>
      </w:r>
      <w:r>
        <w:rPr>
          <w:rStyle w:val="ConstantTok"/>
        </w:rPr>
        <w:t xml:space="preserve">ARGV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]),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tonumber</w:t>
      </w:r>
      <w:r>
        <w:rPr>
          <w:rStyle w:val="OperatorTok"/>
        </w:rPr>
        <w:t xml:space="preserve">(</w:t>
      </w:r>
      <w:r>
        <w:rPr>
          <w:rStyle w:val="ConstantTok"/>
        </w:rPr>
        <w:t xml:space="preserve">ARGV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])</w:t>
      </w:r>
      <w:r>
        <w:br/>
      </w:r>
      <w:r>
        <w:rPr>
          <w:rStyle w:val="KeywordTok"/>
        </w:rPr>
        <w:t xml:space="preserve">local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redis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call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"HMGET"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"tokens"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"ts"</w:t>
      </w:r>
      <w:r>
        <w:rPr>
          <w:rStyle w:val="OperatorTok"/>
        </w:rPr>
        <w:t xml:space="preserve">)</w:t>
      </w:r>
      <w:r>
        <w:br/>
      </w:r>
      <w:r>
        <w:rPr>
          <w:rStyle w:val="KeywordTok"/>
        </w:rPr>
        <w:t xml:space="preserve">local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tokens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math.min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tonumber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b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now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tonumber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b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now</w:t>
      </w:r>
      <w:r>
        <w:rPr>
          <w:rStyle w:val="OperatorTok"/>
        </w:rPr>
        <w:t xml:space="preserve">)))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tokens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cost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then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math.ceil</w:t>
      </w:r>
      <w:r>
        <w:rPr>
          <w:rStyle w:val="OperatorTok"/>
        </w:rPr>
        <w:t xml:space="preserve">((</w:t>
      </w:r>
      <w:r>
        <w:rPr>
          <w:rStyle w:val="VariableTok"/>
        </w:rPr>
        <w:t xml:space="preserve">cost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tokens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r</w:t>
      </w:r>
      <w:r>
        <w:rPr>
          <w:rStyle w:val="OperatorTok"/>
        </w:rPr>
        <w:t xml:space="preserve">)}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end</w:t>
      </w:r>
      <w:r>
        <w:br/>
      </w:r>
      <w:r>
        <w:rPr>
          <w:rStyle w:val="VariableTok"/>
        </w:rPr>
        <w:t xml:space="preserve">redis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call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"HSET"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"tokens"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tokens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cost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now</w:t>
      </w:r>
      <w:r>
        <w:rPr>
          <w:rStyle w:val="OperatorTok"/>
        </w:rPr>
        <w:t xml:space="preserve">)</w:t>
      </w:r>
      <w:r>
        <w:br/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lang w:val="en-US"/>
        </w:rPr>
        <w:t xml:space="preserve">Limits are configured per plan (</w:t>
      </w:r>
      <w:hyperlink w:anchor="tbl_limits">
        <w:r>
          <w:rPr>
            <w:rStyle w:val="Hyperlink"/>
            <w:lang w:val="en-US"/>
          </w:rPr>
          <w:t xml:space="preserve">Table 1</w:t>
        </w:r>
      </w:hyperlink>
      <w:r>
        <w:rPr>
          <w:lang w:val="en-US"/>
        </w:rPr>
        <w:t xml:space="preserve">) and can be raised for a single key:</w:t>
      </w:r>
    </w:p>
    <w:p>
      <w:pPr>
        <w:pStyle w:val="SourceCode"/>
      </w:pPr>
      <w:r>
        <w:rPr>
          <w:rStyle w:val="FunctionTok"/>
        </w:rPr>
        <w:t xml:space="preserve">rate_limits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overrides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key_9f3a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{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capacity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DecValTok"/>
        </w:rPr>
        <w:t xml:space="preserve">5000</w:t>
      </w:r>
      <w:r>
        <w:rPr>
          <w:rStyle w:val="KeywordTok"/>
        </w:rPr>
        <w:t xml:space="preserve">,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rate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DecValTok"/>
        </w:rPr>
        <w:t xml:space="preserve">120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}</w:t>
      </w:r>
      <w:r>
        <w:rPr>
          <w:rStyle w:val="CommentTok"/>
        </w:rPr>
        <w:t xml:space="preserve">   # nightly migration, until 2026-12-31</w:t>
      </w:r>
    </w:p>
    <w:p>
      <w:pPr>
        <w:pStyle w:val="Heading1"/>
      </w:pPr>
      <w:bookmarkStart w:id="15" w:name="rollout"/>
      <w:r>
        <w:rPr>
          <w:lang w:val="en-US"/>
        </w:rPr>
        <w:t xml:space="preserve">Rollout</w:t>
      </w:r>
      <w:bookmarkEnd w:id="15"/>
    </w:p>
    <w:p>
      <w:pPr>
        <w:pStyle w:val="Compact"/>
        <w:numPr>
          <w:ilvl w:val="0"/>
          <w:numId w:val="1003"/>
        </w:numPr>
      </w:pPr>
      <w:r>
        <w:rPr>
          <w:lang w:val="en-US"/>
        </w:rPr>
        <w:t xml:space="preserve">Ship in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shadow mode</w:t>
      </w:r>
      <w:r>
        <w:rPr>
          <w:lang w:val="en-US"/>
        </w:rPr>
        <w:t xml:space="preserve">: compute the decision, log it, never reject.</w:t>
      </w:r>
    </w:p>
    <w:p>
      <w:pPr>
        <w:pStyle w:val="Compact"/>
        <w:numPr>
          <w:ilvl w:val="0"/>
          <w:numId w:val="1003"/>
        </w:numPr>
      </w:pPr>
      <w:r>
        <w:rPr>
          <w:lang w:val="en-US"/>
        </w:rPr>
        <w:t xml:space="preserve">After one week, compare shadow rejections with support tickets.</w:t>
      </w:r>
    </w:p>
    <w:p>
      <w:pPr>
        <w:pStyle w:val="Compact"/>
        <w:numPr>
          <w:ilvl w:val="0"/>
          <w:numId w:val="1003"/>
        </w:numPr>
      </w:pPr>
      <w:r>
        <w:rPr>
          <w:lang w:val="en-US"/>
        </w:rPr>
        <w:t xml:space="preserve">Enforce for the Free plan, then Team and Enterprise one week apart.</w:t>
      </w:r>
    </w:p>
    <w:p>
      <w:pPr>
        <w:pStyle w:val="Heading1"/>
      </w:pPr>
      <w:bookmarkStart w:id="16" w:name="alternatives_considered"/>
      <w:r>
        <w:rPr>
          <w:lang w:val="en-US"/>
        </w:rPr>
        <w:t xml:space="preserve">Alternatives considered</w:t>
      </w:r>
      <w:bookmarkEnd w:id="16"/>
    </w:p>
    <w:tbl>
      <w:tblPr>
        <w:tblStyle w:val="Table"/>
        <w:tblW w:type="dxa" w:w="7919"/>
        <w:jc w:val="center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</w:tblPr>
      <w:tblGrid>
        <w:gridCol w:w="2135"/>
        <w:gridCol w:w="5784"/>
      </w:tblGrid>
      <w:tr>
        <w:trPr>
          <w:cantSplit/>
          <w:tblHeader w:val="on"/>
        </w:trPr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Option</w:t>
            </w:r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Why not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Fixed window counter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Allows double the limit at window edges.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Limits in each worker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Uneven across workers; a client could still flood the queue.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Concurrency limit only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Does not protect against many short requests.</w:t>
            </w:r>
          </w:p>
        </w:tc>
      </w:tr>
    </w:tbl>
    <w:sectPr>
      <w:headerReference w:type="default" r:id="rIdDfHeader1"/>
      <w:footerReference r:id="rIdDfFooter1" w:type="default"/>
      <w:footerReference w:type="first" r:id="rIdDfFooter1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/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D0D9E4"/>
      </w:pBdr>
      <w:tabs>
        <w:tab w:val="right" w:pos="9071"/>
      </w:tabs>
      <w:spacing w:after="0"/>
      <w:jc w:val="left"/>
    </w:pPr>
    <w:r>
      <w:rPr>
        <w:color w:val="6B7280"/>
        <w:sz w:val="18"/>
        <w:szCs w:val="18"/>
      </w:rPr>
      <w:t xml:space="preserve">Design: Rate Limiting for the Export API</w:t>
    </w:r>
    <w:r>
      <w:rPr>
        <w:color w:val="6B7280"/>
        <w:sz w:val="18"/>
        <w:szCs w:val="18"/>
      </w:rPr>
      <w:tab/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 xml:space="preserve"> STYLEREF "heading 1" \* MERGEFORMAT </w:instrText>
    </w:r>
    <w:r>
      <w:rPr>
        <w:color w:val="6B7280"/>
        <w:sz w:val="18"/>
        <w:szCs w:val="18"/>
      </w:rPr>
      <w:fldChar w:fldCharType="separate"/>
    </w:r>
    <w:r>
      <w:rPr>
        <w:color w:val="6B7280"/>
        <w:sz w:val="18"/>
        <w:szCs w:val="18"/>
      </w:rPr>
      <w:t/>
    </w:r>
    <w:r>
      <w:rPr>
        <w:color w:val="6B7280"/>
        <w:sz w:val="18"/>
        <w:szCs w:val="18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微软雅黑" w:hAnsi="Arial" w:hint="eastAsia"/>
        <w:sz w:val="22"/>
        <w:szCs w:val="22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408" w:lineRule="atLeast"/>
      <w:jc w:val="both"/>
    </w:pPr>
    <w:rPr>
      <w:rFonts w:ascii="Arial" w:cs="Arial" w:eastAsia="微软雅黑" w:hAnsi="Arial" w:hint="eastAsia"/>
      <w:color w:val="222222"/>
      <w:kern w:val="0"/>
      <w:sz w:val="22"/>
      <w:szCs w:val="22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微软雅黑" w:hAnsi="Arial" w:hint="eastAsia"/>
      <w:b/>
      <w:bCs/>
      <w:color w:val="0F766E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微软雅黑" w:hAnsi="Arial" w:hint="eastAsia"/>
      <w:color w:val="6B7280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0F766E" w:space="8" w:sz="8" w:val="single"/>
      </w:pBdr>
      <w:spacing w:after="240"/>
      <w:jc w:val="center"/>
    </w:pPr>
    <w:rPr>
      <w:color w:val="6B7280"/>
      <w:sz w:val="20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微软雅黑" w:hAnsi="Arial" w:hint="eastAsia"/>
      <w:b/>
      <w:color w:val="0F766E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1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60" w:before="360" w:line="300" w:lineRule="auto"/>
      <w:ind w:firstLine="0" w:firstLineChars="0"/>
      <w:jc w:val="left"/>
      <w:outlineLvl w:val="0"/>
    </w:pPr>
    <w:rPr>
      <w:rFonts w:ascii="Arial" w:cs="Arial" w:eastAsia="微软雅黑" w:hAnsi="Arial" w:hint="eastAsia"/>
      <w:b/>
      <w:bCs/>
      <w:color w:val="0F766E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微软雅黑" w:hAnsi="Arial" w:hint="eastAsia"/>
      <w:b/>
      <w:bCs/>
      <w:color w:val="0F766E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微软雅黑" w:hAnsi="Arial" w:hint="eastAsia"/>
      <w:b/>
      <w:bCs/>
      <w:color w:val="0F766E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微软雅黑" w:hAnsi="Arial" w:hint="eastAsia"/>
      <w:b/>
      <w:bCs/>
      <w:color w:val="0F766E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customStyle="1" w:styleId="Heading1Char" w:type="character">
    <w:name w:val="Heading 1 Char"/>
    <w:rPr>
      <w:rFonts w:ascii="Arial" w:cs="Arial" w:eastAsia="微软雅黑" w:hAnsi="Arial" w:hint="eastAsia"/>
      <w:b/>
      <w:bCs/>
      <w:color w:val="0F766E"/>
      <w:sz w:val="40"/>
    </w:rPr>
  </w:style>
  <w:style w:customStyle="1" w:styleId="Heading2Char" w:type="character">
    <w:name w:val="Heading 2 Char"/>
    <w:rPr>
      <w:rFonts w:ascii="Arial" w:cs="Arial" w:eastAsia="微软雅黑" w:hAnsi="Arial" w:hint="eastAsia"/>
      <w:b/>
      <w:bCs/>
      <w:color w:val="0F766E"/>
      <w:sz w:val="32"/>
    </w:rPr>
  </w:style>
  <w:style w:customStyle="1" w:styleId="Heading3Char" w:type="character">
    <w:name w:val="Heading 3 Char"/>
    <w:rPr>
      <w:rFonts w:ascii="Arial" w:cs="Arial" w:eastAsia="微软雅黑" w:hAnsi="Arial" w:hint="eastAsia"/>
      <w:b/>
      <w:bCs/>
      <w:color w:val="0F766E"/>
      <w:sz w:val="28"/>
    </w:rPr>
  </w:style>
  <w:style w:customStyle="1" w:styleId="Heading4Char" w:type="character">
    <w:name w:val="Heading 4 Char"/>
    <w:rPr>
      <w:rFonts w:ascii="Arial" w:cs="Arial" w:eastAsia="微软雅黑" w:hAnsi="Arial" w:hint="eastAsia"/>
      <w:b/>
      <w:bCs/>
      <w:color w:val="0F766E"/>
      <w:sz w:val="24"/>
    </w:rPr>
  </w:style>
  <w:style w:customStyle="1" w:styleId="Heading5Char" w:type="character">
    <w:name w:val="Heading 5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6Char" w:type="character">
    <w:name w:val="Heading 6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7Char" w:type="character">
    <w:name w:val="Heading 7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8Char" w:type="character">
    <w:name w:val="Heading 8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9Char" w:type="character">
    <w:name w:val="Heading 9 Char"/>
    <w:rPr>
      <w:rFonts w:ascii="Arial" w:cs="Arial" w:eastAsia="微软雅黑" w:hAnsi="Arial" w:hint="eastAsia"/>
      <w:b/>
      <w:bCs/>
      <w:color w:val="222222"/>
      <w:sz w:val="22"/>
    </w:rPr>
  </w:style>
  <w:style w:styleId="BlockText" w:type="paragraph">
    <w:name w:val="Block Text"/>
    <w:basedOn w:val="BodyText"/>
    <w:next w:val="BodyText"/>
    <w:qFormat/>
    <w:pPr>
      <w:pBdr>
        <w:left w:color="CBD5E1" w:space="8" w:sz="18" w:val="single"/>
      </w:pBdr>
      <w:shd w:color="auto" w:fill="F9FA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18"/>
      <w:szCs w:val="18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微软雅黑" w:hAnsi="Arial" w:hint="eastAsia"/>
      <w:b/>
      <w:color w:val="0F766E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19"/>
      <w:szCs w:val="19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微软雅黑" w:hAnsi="Consolas" w:hint="eastAsia"/>
      <w:sz w:val="20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14B8A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60" w:lineRule="atLeast"/>
    </w:pPr>
    <w:rPr>
      <w:sz w:val="20"/>
      <w:szCs w:val="20"/>
    </w:rPr>
  </w:style>
  <w:style w:customStyle="1" w:styleId="SourceCode" w:type="paragraph">
    <w:name w:val="Source Code"/>
    <w:basedOn w:val="Normal"/>
    <w:qFormat/>
    <w:pPr>
      <w:pBdr>
        <w:top w:color="CBD5E1" w:space="4" w:sz="4" w:val="single"/>
        <w:left w:color="CBD5E1" w:space="4" w:sz="4" w:val="single"/>
        <w:bottom w:color="CBD5E1" w:space="4" w:sz="4" w:val="single"/>
        <w:right w:color="CBD5E1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微软雅黑" w:hAnsi="Consolas" w:hint="eastAsia"/>
      <w:sz w:val="19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paragraph" w:customStyle="1" w:styleId="DFPara1">
    <w:name w:val="DF Para 1"/>
    <w:basedOn w:val="BodyText"/>
    <w:qFormat/>
    <w:pPr>
      <w:pBdr>
        <w:left w:val="single" w:sz="24" w:space="10" w:color="6A1B9A"/>
      </w:pBdr>
      <w:shd w:val="clear" w:color="auto" w:fill="F5EFF8"/>
      <w:spacing w:before="0" w:after="0" w:line="360" w:lineRule="auto"/>
      <w:ind w:left="240" w:right="120" w:firstLine="0" w:firstLineChars="0"/>
    </w:pPr>
  </w:style>
  <w:style w:type="paragraph" w:customStyle="1" w:styleId="DFPara2">
    <w:name w:val="DF Para 2"/>
    <w:basedOn w:val="BodyText"/>
    <w:qFormat/>
    <w:pPr>
      <w:keepNext/>
      <w:pBdr>
        <w:left w:val="single" w:sz="24" w:space="10" w:color="6A1B9A"/>
      </w:pBdr>
      <w:shd w:val="clear" w:color="auto" w:fill="F5EFF8"/>
      <w:spacing w:before="160" w:after="0"/>
      <w:ind w:left="240" w:right="120" w:firstLine="0" w:firstLineChars="0"/>
      <w:jc w:val="left"/>
    </w:pPr>
    <w:rPr>
      <w:rFonts w:ascii="Arial" w:hAnsi="Arial" w:eastAsia="微软雅黑" w:cs="Arial" w:hint="eastAsia"/>
      <w:b/>
      <w:color w:val="6A1B9A"/>
    </w:r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header" Id="rIdDfHeader1" Target="header1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微软雅黑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微软雅黑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Design: Rate Limiting for the Export API</dc:title>
  <dc:creator>Platform Team</dc:creator>
  <dc:language>en-US</dc:language>
  <cp:keywords/>
  <dcterms:created xsi:type="dcterms:W3CDTF">2026-10-27T10:30:24Z</dcterms:created>
  <dcterms:modified xsi:type="dcterms:W3CDTF">2026-10-27T10:30:24Z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2026-10-20</vt:lpwstr>
  </property>
  <property fmtid="{D5CDD505-2E9C-101B-9397-08002B2CF9AE}" pid="3" name="subtitle">
    <vt:lpwstr>Engineering design document · RFC-0142</vt:lpwstr>
  </property>
</Properties>
</file>