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de-template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rPr>
          <w:b/>
          <w:color w:val="1F3A5F"/>
          <w:sz w:val="52"/>
        </w:rPr>
        <w:t xml:space="preserve">Machbarkeitsstudie Northwind Campus</w:t>
      </w:r>
    </w:p>
    <w:p>
      <w:pPr>
        <w:pBdr>
          <w:bottom w:val="single" w:sz="12" w:space="1" w:color="1F3A5F"/>
        </w:pBdr>
      </w:pPr>
      <w:r>
        <w:rPr>
          <w:sz w:val="30"/>
        </w:rPr>
        <w:t xml:space="preserve">Entwurf zur Prüfung</w:t>
      </w:r>
    </w:p>
    <w:p/>
    <w:p/>
    <w:p/>
    <w:p/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451"/>
        <w:gridCol w:w="4451"/>
      </w:tblGrid>
      <w:tr>
        <w:tc>
          <w:tcPr>
            <w:tcW w:type="dxa" w:w="4451"/>
          </w:tcPr>
          <w:p>
            <w:r>
              <w:rPr>
                <w:b/>
              </w:rPr>
              <w:t>Auftraggeber</w:t>
            </w:r>
          </w:p>
        </w:tc>
        <w:tc>
          <w:tcPr>
            <w:tcW w:type="dxa" w:w="4451"/>
          </w:tcPr>
          <w:p>
            <w:r>
              <w:t xml:space="preserve">Amt für Stadterneuerung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Bericht-Nr.</w:t>
            </w:r>
          </w:p>
        </w:tc>
        <w:tc>
          <w:tcPr>
            <w:tcW w:type="dxa" w:w="4451"/>
          </w:tcPr>
          <w:p>
            <w:r>
              <w:t xml:space="preserve">NW-2026-018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4451"/>
          </w:tcPr>
          <w:p>
            <w:r>
              <w:t xml:space="preserve">20. Oktober 2026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587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projekt_berblick"/>
      <w:r>
        <w:rPr>
          <w:lang w:val="de-DE"/>
        </w:rPr>
        <w:t xml:space="preserve">Projektüberblick</w:t>
      </w:r>
      <w:bookmarkEnd w:id="9"/>
    </w:p>
    <w:p>
      <w:pPr>
        <w:pStyle w:val="FirstParagraph"/>
      </w:pPr>
      <w:r>
        <w:rPr>
          <w:lang w:val="de-DE"/>
        </w:rPr>
        <w:t xml:space="preserve">Der Northwind Campus liegt auf 38,6 Hektar im Osten des Technologieparks und umfasst 520.000 m² Geschossfläche für Forschungsbüros, Pilotanlagen, Wohnungen und Dienstleistungen. Die Bauzeit beträgt 36 Monate.</w:t>
      </w:r>
    </w:p>
    <w:p>
      <w:pPr>
        <w:pStyle w:val="Heading1"/>
      </w:pPr>
      <w:bookmarkStart w:id="11" w:name="warum_bauen"/>
      <w:r>
        <w:rPr>
          <w:lang w:val="de-DE"/>
        </w:rPr>
        <w:t xml:space="preserve">Warum bauen</w:t>
      </w:r>
      <w:bookmarkEnd w:id="11"/>
    </w:p>
    <w:p>
      <w:pPr>
        <w:pStyle w:val="FirstParagraph"/>
      </w:pPr>
      <w:r>
        <w:rPr>
          <w:lang w:val="de-DE"/>
        </w:rPr>
        <w:t xml:space="preserve">Der Campus soll rund 12.000 Arbeitsplätze und eine jährliche Wertschöpfung von 1,1 Mrd. € schaffen und die Innovationskette der Region stärken.</w:t>
      </w:r>
    </w:p>
    <w:p>
      <w:pPr>
        <w:pStyle w:val="TableCaption"/>
      </w:pPr>
      <w:bookmarkStart w:id="10" w:name="table1"/>
      <w:r>
        <w:rPr>
          <w:lang w:val="de-DE"/>
        </w:rPr>
        <w:t xml:space="preserve">Tabelle </w:t>
      </w:r>
      <w:fldSimple w:instr="SEQ Table \* ARABIC ">
        <w:r>
          <w:t>1</w:t>
        </w:r>
      </w:fldSimple>
      <w:bookmarkEnd w:id="10"/>
      <w:r>
        <w:rPr>
          <w:lang w:val="de-DE"/>
        </w:rPr>
        <w:t xml:space="preserve">. Wichtige Wirtschaftlichkeitskennzahlen</w:t>
      </w:r>
    </w:p>
    <w:tbl>
      <w:tblPr>
        <w:tblStyle w:val="Table"/>
        <w:tblW w:type="dxa" w:w="3542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Wichtige Wirtschaftlichkeitskennzahlen"/>
      </w:tblPr>
      <w:tblGrid>
        <w:gridCol w:w="2188"/>
        <w:gridCol w:w="1354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de-DE"/>
              </w:rPr>
              <w:t xml:space="preserve">Kennzahl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de-DE"/>
              </w:rPr>
              <w:t xml:space="preserve">Wert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Gesamtinvestition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550 Mio. €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Interner Zinsfuß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9,6 %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Amortisationsdauer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11,2 Jahre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587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t xml:space="preserve">Seite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von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901"/>
      </w:tabs>
      <w:spacing w:after="0"/>
      <w:jc w:val="left"/>
    </w:pPr>
    <w:r>
      <w:rPr>
        <w:color w:val="000000"/>
        <w:sz w:val="18"/>
        <w:szCs w:val="18"/>
      </w:rPr>
      <w:t xml:space="preserve">Northwind Beratung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Machbarkeitsstudie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de-DE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de-DE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1F3A5F"/>
      <w:sz w:val="30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1F3A5F"/>
      <w:sz w:val="26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2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2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2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2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1F3A5F"/>
      <w:sz w:val="30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1F3A5F"/>
      <w:sz w:val="26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450" w:val="center"/>
        <w:tab w:pos="890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2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tabs>
        <w:tab w:val="clear" w:pos="4680"/>
        <w:tab w:val="clear" w:pos="9360"/>
        <w:tab w:val="right" w:pos="8900"/>
      </w:tabs>
      <w:pBdr>
        <w:bottom w:val="single" w:sz="6" w:space="1" w:color="000000"/>
      </w:pBdr>
    </w:pPr>
    <w:r>
      <w:rPr>
        <w:sz w:val="18"/>
      </w:rPr>
      <w:t>Northwind Beratung</w:t>
    </w:r>
    <w:r>
      <w:rPr>
        <w:sz w:val="18"/>
      </w:rPr>
      <w:tab/>
      <w:t>Machbarkeitsstudie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t xml:space="preserve">Seite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de-DE</dc:language>
  <cp:keywords/>
  <dcterms:created xsi:type="dcterms:W3CDTF">2026-10-27T10:31:20Z</dcterms:created>
  <dcterms:modified xsi:type="dcterms:W3CDTF">2026-10-27T10:31:20Z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Zusammenfassung</vt:lpwstr>
  </property>
  <property fmtid="{D5CDD505-2E9C-101B-9397-08002B2CF9AE}" pid="3" name="client">
    <vt:lpwstr>Amt für Stadterneuerung</vt:lpwstr>
  </property>
  <property fmtid="{D5CDD505-2E9C-101B-9397-08002B2CF9AE}" pid="4" name="report-no">
    <vt:lpwstr>NW-2026-018</vt:lpwstr>
  </property>
</Properties>
</file>