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DE"/>
        </w:rPr>
        <w:t xml:space="preserve">Räumliche Unterschiede der Wohnungspreise und ihre Bestimmungsfaktoren</w:t>
      </w:r>
    </w:p>
    <w:p>
      <w:pPr>
        <w:pStyle w:val="Author"/>
      </w:pPr>
      <w:r>
        <w:rPr>
          <w:lang w:val="de-DE"/>
        </w:rPr>
        <w:t xml:space="preserve">Ming Wang, Hua Li</w:t>
      </w:r>
    </w:p>
    <w:p>
      <w:pPr>
        <w:pStyle w:val="Date"/>
      </w:pPr>
      <w:r>
        <w:rPr>
          <w:lang w:val="de-DE"/>
        </w:rPr>
        <w:t xml:space="preserve">September 2026</w:t>
      </w:r>
    </w:p>
    <w:p>
      <w:pPr>
        <w:pStyle w:val="AbstractTitle"/>
      </w:pPr>
      <w:r>
        <w:t xml:space="preserve">Zusammenfassung</w:t>
      </w:r>
    </w:p>
    <w:p>
      <w:pPr>
        <w:pStyle w:val="Abstract"/>
      </w:pPr>
      <w:r>
        <w:rPr>
          <w:lang w:val="de-DE"/>
        </w:rPr>
        <w:t xml:space="preserve">Auf Grundlage von Wohnungstransaktionen aus 36 Städten zwischen 2020 und 2025 schätzen wir ein hedonisches Preismodell mit Lage, Infrastruktur und Gebäudealter. Eine um eine Standardabweichung bessere Anbindung an den Schienenverkehr erhöht den Quadratmeterpreis um etwa 6,8 %.</w:t>
      </w:r>
    </w:p>
    <w:p>
      <w:pPr>
        <w:pStyle w:val="Heading1"/>
      </w:pPr>
      <w:bookmarkStart w:id="9" w:name="einleitung"/>
      <w:r>
        <w:rPr>
          <w:rStyle w:val="SectionNumber"/>
          <w:lang w:val="de-DE"/>
        </w:rPr>
        <w:t xml:space="preserve">1</w:t>
      </w:r>
      <w:r>
        <w:tab/>
      </w:r>
      <w:r>
        <w:rPr>
          <w:lang w:val="de-DE"/>
        </w:rPr>
        <w:t xml:space="preserve">Einleitung</w:t>
      </w:r>
      <w:bookmarkEnd w:id="9"/>
    </w:p>
    <w:p>
      <w:pPr>
        <w:pStyle w:val="FirstParagraph"/>
      </w:pPr>
      <w:r>
        <w:rPr>
          <w:lang w:val="de-DE"/>
        </w:rPr>
        <w:t xml:space="preserve">Räumliche Unterschiede der Wohnungspreise sind eine Kernfrage der Stadtökonomik. Die meisten Arbeiten nutzen hedonische Preismodelle</w:t>
      </w:r>
      <w:r>
        <w:rPr>
          <w:vertAlign w:val="superscript"/>
          <w:lang w:val="de-DE"/>
        </w:rPr>
        <w:t xml:space="preserve">[</w:t>
      </w:r>
      <w:hyperlink w:anchor="ref_smith2021">
        <w:r>
          <w:rPr>
            <w:rStyle w:val="Hyperlink"/>
            <w:vertAlign w:val="superscript"/>
            <w:lang w:val="de-DE"/>
          </w:rPr>
          <w:t xml:space="preserve">1</w:t>
        </w:r>
      </w:hyperlink>
      <w:r>
        <w:rPr>
          <w:vertAlign w:val="superscript"/>
          <w:lang w:val="de-DE"/>
        </w:rPr>
        <w:t xml:space="preserve">]</w:t>
      </w:r>
      <w:r>
        <w:rPr>
          <w:lang w:val="de-DE"/>
        </w:rPr>
        <w:t xml:space="preserve">; andere untersuchen Anpassungsfaktoren im Vergleichswertverfahren</w:t>
      </w:r>
      <w:r>
        <w:rPr>
          <w:vertAlign w:val="superscript"/>
          <w:lang w:val="de-DE"/>
        </w:rPr>
        <w:t xml:space="preserve">[</w:t>
      </w:r>
      <w:hyperlink w:anchor="ref_zhang2024">
        <w:r>
          <w:rPr>
            <w:rStyle w:val="Hyperlink"/>
            <w:vertAlign w:val="superscript"/>
            <w:lang w:val="de-DE"/>
          </w:rPr>
          <w:t xml:space="preserve">2</w:t>
        </w:r>
      </w:hyperlink>
      <w:r>
        <w:rPr>
          <w:vertAlign w:val="superscript"/>
          <w:lang w:val="de-DE"/>
        </w:rPr>
        <w:t xml:space="preserve">]</w:t>
      </w:r>
      <w:r>
        <w:rPr>
          <w:lang w:val="de-DE"/>
        </w:rPr>
        <w:t xml:space="preserve">.</w:t>
      </w:r>
    </w:p>
    <w:p>
      <w:pPr>
        <w:pStyle w:val="Heading1"/>
      </w:pPr>
      <w:bookmarkStart w:id="11" w:name="modell"/>
      <w:r>
        <w:rPr>
          <w:rStyle w:val="SectionNumber"/>
          <w:lang w:val="de-DE"/>
        </w:rPr>
        <w:t xml:space="preserve">2</w:t>
      </w:r>
      <w:r>
        <w:tab/>
      </w:r>
      <w:r>
        <w:rPr>
          <w:lang w:val="de-DE"/>
        </w:rPr>
        <w:t xml:space="preserve">Modell</w:t>
      </w:r>
      <w:bookmarkEnd w:id="11"/>
    </w:p>
    <w:p>
      <w:pPr>
        <w:pStyle w:val="FirstParagraph"/>
      </w:pPr>
      <w:r>
        <w:rPr>
          <w:lang w:val="de-DE"/>
        </w:rPr>
        <w:t xml:space="preserve">Es sei</w:t>
      </w:r>
      <w:r>
        <w:rPr>
          <w:lang w:val="de-DE"/>
        </w:rPr>
        <w:t xml:space="preserve"> </w:t>
      </w:r>
      <m:oMath>
        <m:sSub>
          <m:e>
            <m:r>
              <m:t>P</m:t>
            </m:r>
          </m:e>
          <m:sub>
            <m:r>
              <m:t>i</m:t>
            </m:r>
          </m:sub>
        </m:sSub>
      </m:oMath>
      <w:r>
        <w:rPr>
          <w:lang w:val="de-DE"/>
        </w:rPr>
        <w:t xml:space="preserve"> </w:t>
      </w:r>
      <w:r>
        <w:rPr>
          <w:lang w:val="de-DE"/>
        </w:rPr>
        <w:t xml:space="preserve">der Preis der Wohnung</w:t>
      </w:r>
      <w:r>
        <w:rPr>
          <w:lang w:val="de-DE"/>
        </w:rPr>
        <w:t xml:space="preserve"> </w:t>
      </w:r>
      <m:oMath>
        <m:r>
          <m:t>i</m:t>
        </m:r>
      </m:oMath>
      <w:r>
        <w:rPr>
          <w:lang w:val="de-DE"/>
        </w:rPr>
        <w:t xml:space="preserve"> </w:t>
      </w:r>
      <w:r>
        <w:rPr>
          <w:lang w:val="de-DE"/>
        </w:rPr>
        <w:t xml:space="preserve">und</w:t>
      </w:r>
      <w:r>
        <w:rPr>
          <w:lang w:val="de-DE"/>
        </w:rPr>
        <w:t xml:space="preserve"> </w:t>
      </w:r>
      <m:oMath>
        <m:sSub>
          <m:e>
            <m:r>
              <m:rPr>
                <m:sty m:val="bi"/>
              </m:rPr>
              <m:t>x</m:t>
            </m:r>
          </m:e>
          <m:sub>
            <m:r>
              <m:t>i</m:t>
            </m:r>
          </m:sub>
        </m:sSub>
      </m:oMath>
      <w:r>
        <w:rPr>
          <w:lang w:val="de-DE"/>
        </w:rPr>
        <w:t xml:space="preserve"> </w:t>
      </w:r>
      <w:r>
        <w:rPr>
          <w:lang w:val="de-DE"/>
        </w:rPr>
        <w:t xml:space="preserve">der Vektor ihrer Merkmale. Wir verwenden die semilogarithmische Form</w:t>
      </w:r>
    </w:p>
    <w:p>
      <w:pPr>
        <w:pStyle w:val="DFEquation"/>
      </w:pPr>
      <w:r>
        <w:tab/>
      </w:r>
      <m:oMath>
        <m:r>
          <m:rPr>
            <m:sty m:val="p"/>
          </m:rPr>
          <m:t>ln</m:t>
        </m:r>
        <m:sSub>
          <m:e>
            <m:r>
              <m:t>P</m:t>
            </m:r>
          </m:e>
          <m:sub>
            <m:r>
              <m:t>i</m:t>
            </m:r>
          </m:sub>
        </m:sSub>
        <m:r>
          <m:rPr>
            <m:sty m:val="p"/>
          </m:rPr>
          <m:t>=</m:t>
        </m:r>
        <m:sSub>
          <m:e>
            <m:r>
              <m:t>β</m:t>
            </m:r>
          </m:e>
          <m:sub>
            <m:r>
              <m:t>0</m:t>
            </m:r>
          </m:sub>
        </m:sSub>
        <m:r>
          <m:rPr>
            <m:sty m:val="p"/>
          </m:rPr>
          <m:t>+</m:t>
        </m:r>
        <m:nary>
          <m:naryPr>
            <m:chr m:val="∑"/>
            <m:limLoc m:val="undOvr"/>
            <m:subHide m:val="off"/>
            <m:supHide m:val="off"/>
          </m:naryPr>
          <m:sub>
            <m:r>
              <m:t>k</m:t>
            </m:r>
            <m:r>
              <m:rPr>
                <m:sty m:val="p"/>
              </m:rPr>
              <m:t>=</m:t>
            </m:r>
            <m:r>
              <m:t>1</m:t>
            </m:r>
          </m:sub>
          <m:sup>
            <m:r>
              <m:t>K</m:t>
            </m:r>
          </m:sup>
          <m:e>
            <m:sSub>
              <m:e>
                <m:r>
                  <m:t>β</m:t>
                </m:r>
              </m:e>
              <m:sub>
                <m:r>
                  <m:t>k</m:t>
                </m:r>
              </m:sub>
            </m:sSub>
          </m:e>
        </m:nary>
        <m:sSub>
          <m:e>
            <m:r>
              <m:t>x</m:t>
            </m:r>
          </m:e>
          <m:sub>
            <m:r>
              <m:t>i</m:t>
            </m:r>
            <m:r>
              <m:t>k</m:t>
            </m:r>
          </m:sub>
        </m:sSub>
        <m:r>
          <m:rPr>
            <m:sty m:val="p"/>
          </m:rPr>
          <m:t>+</m:t>
        </m:r>
        <m:sSub>
          <m:e>
            <m:r>
              <m:t>ε</m:t>
            </m:r>
          </m:e>
          <m:sub>
            <m:r>
              <m:t>i</m:t>
            </m:r>
          </m:sub>
        </m:sSub>
      </m:oMath>
      <w:r>
        <w:tab/>
      </w:r>
      <w:bookmarkStart w:id="10" w:name="eq_hedonic"/>
      <w:r>
        <w:rPr>
          <w:lang w:val="de-DE"/>
        </w:rPr>
        <w:t xml:space="preserve">(1)</w:t>
      </w:r>
      <w:bookmarkEnd w:id="10"/>
    </w:p>
    <w:p>
      <w:pPr>
        <w:pStyle w:val="BodyText"/>
      </w:pPr>
      <w:r>
        <w:rPr>
          <w:lang w:val="de-DE"/>
        </w:rPr>
        <w:t xml:space="preserve">wobei</w:t>
      </w:r>
      <w:r>
        <w:rPr>
          <w:lang w:val="de-DE"/>
        </w:rPr>
        <w:t xml:space="preserve"> </w:t>
      </w:r>
      <m:oMath>
        <m:sSub>
          <m:e>
            <m:r>
              <m:t>β</m:t>
            </m:r>
          </m:e>
          <m:sub>
            <m:r>
              <m:t>k</m:t>
            </m:r>
          </m:sub>
        </m:sSub>
      </m:oMath>
      <w:r>
        <w:rPr>
          <w:lang w:val="de-DE"/>
        </w:rPr>
        <w:t xml:space="preserve"> </w:t>
      </w:r>
      <w:r>
        <w:rPr>
          <w:lang w:val="de-DE"/>
        </w:rPr>
        <w:t xml:space="preserve">in</w:t>
      </w:r>
      <w:r>
        <w:rPr>
          <w:lang w:val="de-DE"/>
        </w:rPr>
        <w:t xml:space="preserve"> </w:t>
      </w:r>
      <w:hyperlink w:anchor="eq_hedonic">
        <w:r>
          <w:rPr>
            <w:rStyle w:val="Hyperlink"/>
            <w:lang w:val="de-DE"/>
          </w:rPr>
          <w:t xml:space="preserve">Gl. (1)</w:t>
        </w:r>
      </w:hyperlink>
      <w:r>
        <w:rPr>
          <w:lang w:val="de-DE"/>
        </w:rPr>
        <w:t xml:space="preserve"> </w:t>
      </w:r>
      <w:r>
        <w:rPr>
          <w:lang w:val="de-DE"/>
        </w:rPr>
        <w:t xml:space="preserve">den marginalen Effekt des Merkmals</w:t>
      </w:r>
      <w:r>
        <w:rPr>
          <w:lang w:val="de-DE"/>
        </w:rPr>
        <w:t xml:space="preserve"> </w:t>
      </w:r>
      <m:oMath>
        <m:r>
          <m:t>k</m:t>
        </m:r>
      </m:oMath>
      <w:r>
        <w:rPr>
          <w:lang w:val="de-DE"/>
        </w:rPr>
        <w:t xml:space="preserve"> </w:t>
      </w:r>
      <w:r>
        <w:rPr>
          <w:lang w:val="de-DE"/>
        </w:rPr>
        <w:t xml:space="preserve">misst.</w:t>
      </w:r>
    </w:p>
    <w:p>
      <w:pPr>
        <w:pStyle w:val="Heading1"/>
      </w:pPr>
      <w:bookmarkStart w:id="14" w:name="ergebnisse"/>
      <w:r>
        <w:rPr>
          <w:rStyle w:val="SectionNumber"/>
          <w:lang w:val="de-DE"/>
        </w:rPr>
        <w:t xml:space="preserve">3</w:t>
      </w:r>
      <w:r>
        <w:tab/>
      </w:r>
      <w:r>
        <w:rPr>
          <w:lang w:val="de-DE"/>
        </w:rPr>
        <w:t xml:space="preserve">Ergebnisse</w:t>
      </w:r>
      <w:bookmarkEnd w:id="14"/>
    </w:p>
    <w:p>
      <w:pPr>
        <w:pStyle w:val="TableCaption"/>
      </w:pPr>
      <w:bookmarkStart w:id="13" w:name="tbl_est"/>
      <w:bookmarkStart w:id="12" w:name="tbl_est"/>
      <w:r>
        <w:rPr>
          <w:lang w:val="de-DE"/>
        </w:rPr>
        <w:t xml:space="preserve">Tabelle </w:t>
      </w:r>
      <w:fldSimple w:instr="SEQ Table \* ARABIC ">
        <w:r>
          <w:t>1</w:t>
        </w:r>
      </w:fldSimple>
      <w:bookmarkEnd w:id="12"/>
      <w:r>
        <w:rPr>
          <w:lang w:val="de-DE"/>
        </w:rPr>
        <w:t xml:space="preserve">. Schätzergebnisse des hedonischen Modells</w:t>
      </w:r>
      <w:bookmarkEnd w:id="13"/>
    </w:p>
    <w:tbl>
      <w:tblPr>
        <w:tblStyle w:val="Table"/>
        <w:tblW w:type="dxa" w:w="6579"/>
        <w:jc w:val="center"/>
        <w:tblBorders>
          <w:top w:val="single" w:sz="12" w:space="0" w:color="000000"/>
          <w:left w:val="nil" w:sz="0" w:space="0" w:color="auto"/>
          <w:bottom w:val="single" w:sz="12" w:space="0" w:color="000000"/>
          <w:right w:val="nil" w:sz="0" w:space="0" w:color="auto"/>
          <w:insideH w:val="nil" w:sz="0" w:space="0" w:color="auto"/>
          <w:insideV w:val="nil" w:sz="0" w:space="0" w:color="auto"/>
        </w:tblBorders>
        <w:tblLayout w:type="fixed"/>
        <w:tblCellMar>
          <w:top w:w="50" w:type="dxa"/>
          <w:left w:w="100" w:type="dxa"/>
          <w:bottom w:w="50" w:type="dxa"/>
          <w:right w:w="100" w:type="dxa"/>
        </w:tblCellMar>
        <w:tblLook w:firstRow="1" w:lastRow="0" w:firstColumn="0" w:lastColumn="0" w:noHBand="0" w:noVBand="0" w:val="0020"/>
        <w:tblCaption w:val="Schätzergebnisse des hedonischen Modells"/>
      </w:tblPr>
      <w:tblGrid>
        <w:gridCol w:w="3904"/>
        <w:gridCol w:w="1003"/>
        <w:gridCol w:w="892"/>
        <w:gridCol w:w="780"/>
      </w:tblGrid>
      <w:tr>
        <w:trPr>
          <w:cantSplit/>
          <w:tblHeader w:val="on"/>
        </w:trPr>
        <w:tc>
          <w:tcPr>
            <w:tcBorders>
              <w:bottom w:val="single" w:sz="6" w:space="0" w:color="000000"/>
            </w:tcBorders>
            <w:vAlign w:val="center"/>
          </w:tcPr>
          <w:p>
            <w:pPr>
              <w:pStyle w:val="DFTableText"/>
            </w:pPr>
            <w:r>
              <w:rPr>
                <w:b/>
                <w:bCs/>
                <w:color w:val="000000"/>
                <w:lang w:val="de-DE"/>
              </w:rPr>
              <w:t xml:space="preserve">Variable</w:t>
            </w:r>
          </w:p>
        </w:tc>
        <w:tc>
          <w:tcPr>
            <w:tcBorders>
              <w:bottom w:val="single" w:sz="6" w:space="0" w:color="000000"/>
            </w:tcBorders>
            <w:vAlign w:val="center"/>
          </w:tcPr>
          <w:p>
            <w:pPr>
              <w:pStyle w:val="DFTableText"/>
              <w:jc w:val="right"/>
            </w:pPr>
            <w:r>
              <w:rPr>
                <w:b/>
                <w:bCs/>
                <w:color w:val="000000"/>
                <w:lang w:val="de-DE"/>
              </w:rPr>
              <w:t xml:space="preserve">Koeff.</w:t>
            </w:r>
          </w:p>
        </w:tc>
        <w:tc>
          <w:tcPr>
            <w:tcBorders>
              <w:bottom w:val="single" w:sz="6" w:space="0" w:color="000000"/>
            </w:tcBorders>
            <w:vAlign w:val="center"/>
          </w:tcPr>
          <w:p>
            <w:pPr>
              <w:pStyle w:val="DFTableText"/>
              <w:jc w:val="right"/>
            </w:pPr>
            <w:r>
              <w:rPr>
                <w:b/>
                <w:bCs/>
                <w:color w:val="000000"/>
                <w:lang w:val="de-DE"/>
              </w:rPr>
              <w:t xml:space="preserve">S.E.</w:t>
            </w:r>
          </w:p>
        </w:tc>
        <w:tc>
          <w:tcPr>
            <w:tcBorders>
              <w:bottom w:val="single" w:sz="6" w:space="0" w:color="000000"/>
            </w:tcBorders>
            <w:vAlign w:val="center"/>
          </w:tcPr>
          <w:p>
            <w:pPr>
              <w:pStyle w:val="DFTableText"/>
              <w:jc w:val="center"/>
            </w:pPr>
            <w:r>
              <w:rPr>
                <w:b/>
                <w:bCs/>
                <w:color w:val="000000"/>
                <w:lang w:val="de-DE"/>
              </w:rPr>
              <w:t xml:space="preserve">Sig.</w:t>
            </w:r>
          </w:p>
        </w:tc>
      </w:tr>
      <w:tr>
        <w:trPr>
          <w:cantSplit/>
        </w:trPr>
        <w:tc>
          <w:tcPr>
            <w:vAlign w:val="center"/>
          </w:tcPr>
          <w:p>
            <w:pPr>
              <w:pStyle w:val="DFTableText"/>
            </w:pPr>
            <w:r>
              <w:rPr>
                <w:lang w:val="de-DE"/>
              </w:rPr>
              <w:t xml:space="preserve">Anbindung an den Schienenverkehr</w:t>
            </w:r>
          </w:p>
        </w:tc>
        <w:tc>
          <w:tcPr>
            <w:vAlign w:val="center"/>
          </w:tcPr>
          <w:p>
            <w:pPr>
              <w:pStyle w:val="DFTableText"/>
              <w:jc w:val="right"/>
            </w:pPr>
            <w:r>
              <w:rPr>
                <w:lang w:val="de-DE"/>
              </w:rPr>
              <w:t xml:space="preserve">0,068</w:t>
            </w:r>
          </w:p>
        </w:tc>
        <w:tc>
          <w:tcPr>
            <w:vAlign w:val="center"/>
          </w:tcPr>
          <w:p>
            <w:pPr>
              <w:pStyle w:val="DFTableText"/>
              <w:jc w:val="right"/>
            </w:pPr>
            <w:r>
              <w:rPr>
                <w:lang w:val="de-DE"/>
              </w:rPr>
              <w:t xml:space="preserve">0,009</w:t>
            </w:r>
          </w:p>
        </w:tc>
        <w:tc>
          <w:tcPr>
            <w:vAlign w:val="center"/>
          </w:tcPr>
          <w:p>
            <w:pPr>
              <w:pStyle w:val="DFTableText"/>
              <w:jc w:val="center"/>
            </w:pPr>
            <w:r>
              <w:rPr>
                <w:lang w:val="de-DE"/>
              </w:rPr>
              <w:t xml:space="preserve">***</w:t>
            </w:r>
          </w:p>
        </w:tc>
      </w:tr>
      <w:tr>
        <w:trPr>
          <w:cantSplit/>
        </w:trPr>
        <w:tc>
          <w:tcPr>
            <w:vAlign w:val="center"/>
          </w:tcPr>
          <w:p>
            <w:pPr>
              <w:pStyle w:val="DFTableText"/>
            </w:pPr>
            <w:r>
              <w:rPr>
                <w:lang w:val="de-DE"/>
              </w:rPr>
              <w:t xml:space="preserve">Schulqualität</w:t>
            </w:r>
          </w:p>
        </w:tc>
        <w:tc>
          <w:tcPr>
            <w:vAlign w:val="center"/>
          </w:tcPr>
          <w:p>
            <w:pPr>
              <w:pStyle w:val="DFTableText"/>
              <w:jc w:val="right"/>
            </w:pPr>
            <w:r>
              <w:rPr>
                <w:lang w:val="de-DE"/>
              </w:rPr>
              <w:t xml:space="preserve">0,052</w:t>
            </w:r>
          </w:p>
        </w:tc>
        <w:tc>
          <w:tcPr>
            <w:vAlign w:val="center"/>
          </w:tcPr>
          <w:p>
            <w:pPr>
              <w:pStyle w:val="DFTableText"/>
              <w:jc w:val="right"/>
            </w:pPr>
            <w:r>
              <w:rPr>
                <w:lang w:val="de-DE"/>
              </w:rPr>
              <w:t xml:space="preserve">0,011</w:t>
            </w:r>
          </w:p>
        </w:tc>
        <w:tc>
          <w:tcPr>
            <w:vAlign w:val="center"/>
          </w:tcPr>
          <w:p>
            <w:pPr>
              <w:pStyle w:val="DFTableText"/>
              <w:jc w:val="center"/>
            </w:pPr>
            <w:r>
              <w:rPr>
                <w:lang w:val="de-DE"/>
              </w:rPr>
              <w:t xml:space="preserve">***</w:t>
            </w:r>
          </w:p>
        </w:tc>
      </w:tr>
      <w:tr>
        <w:trPr>
          <w:cantSplit/>
        </w:trPr>
        <w:tc>
          <w:tcPr>
            <w:vAlign w:val="center"/>
          </w:tcPr>
          <w:p>
            <w:pPr>
              <w:pStyle w:val="DFTableText"/>
            </w:pPr>
            <w:r>
              <w:rPr>
                <w:lang w:val="de-DE"/>
              </w:rPr>
              <w:t xml:space="preserve">Gebäudealter (Jahre)</w:t>
            </w:r>
          </w:p>
        </w:tc>
        <w:tc>
          <w:tcPr>
            <w:vAlign w:val="center"/>
          </w:tcPr>
          <w:p>
            <w:pPr>
              <w:pStyle w:val="DFTableText"/>
              <w:jc w:val="right"/>
            </w:pPr>
            <w:r>
              <w:rPr>
                <w:lang w:val="de-DE"/>
              </w:rPr>
              <w:t xml:space="preserve">−0,007</w:t>
            </w:r>
          </w:p>
        </w:tc>
        <w:tc>
          <w:tcPr>
            <w:vAlign w:val="center"/>
          </w:tcPr>
          <w:p>
            <w:pPr>
              <w:pStyle w:val="DFTableText"/>
              <w:jc w:val="right"/>
            </w:pPr>
            <w:r>
              <w:rPr>
                <w:lang w:val="de-DE"/>
              </w:rPr>
              <w:t xml:space="preserve">0,002</w:t>
            </w:r>
          </w:p>
        </w:tc>
        <w:tc>
          <w:tcPr>
            <w:vAlign w:val="center"/>
          </w:tcPr>
          <w:p>
            <w:pPr>
              <w:pStyle w:val="DFTableText"/>
              <w:jc w:val="center"/>
            </w:pPr>
            <w:r>
              <w:rPr>
                <w:lang w:val="de-DE"/>
              </w:rPr>
              <w:t xml:space="preserve">**</w:t>
            </w:r>
          </w:p>
        </w:tc>
      </w:tr>
      <w:tr>
        <w:trPr>
          <w:cantSplit/>
        </w:trPr>
        <w:tc>
          <w:tcPr>
            <w:vAlign w:val="center"/>
          </w:tcPr>
          <w:p>
            <w:pPr>
              <w:pStyle w:val="DFTableText"/>
            </w:pPr>
            <w:r>
              <w:rPr>
                <w:lang w:val="de-DE"/>
              </w:rPr>
              <w:t xml:space="preserve">Geschossflächenzahl</w:t>
            </w:r>
          </w:p>
        </w:tc>
        <w:tc>
          <w:tcPr>
            <w:vAlign w:val="center"/>
          </w:tcPr>
          <w:p>
            <w:pPr>
              <w:pStyle w:val="DFTableText"/>
              <w:jc w:val="right"/>
            </w:pPr>
            <w:r>
              <w:rPr>
                <w:lang w:val="de-DE"/>
              </w:rPr>
              <w:t xml:space="preserve">−0,015</w:t>
            </w:r>
          </w:p>
        </w:tc>
        <w:tc>
          <w:tcPr>
            <w:vAlign w:val="center"/>
          </w:tcPr>
          <w:p>
            <w:pPr>
              <w:pStyle w:val="DFTableText"/>
              <w:jc w:val="right"/>
            </w:pPr>
            <w:r>
              <w:rPr>
                <w:lang w:val="de-DE"/>
              </w:rPr>
              <w:t xml:space="preserve">0,006</w:t>
            </w:r>
          </w:p>
        </w:tc>
        <w:tc>
          <w:tcPr>
            <w:vAlign w:val="center"/>
          </w:tcPr>
          <w:p>
            <w:pPr>
              <w:pStyle w:val="DFTableText"/>
              <w:jc w:val="center"/>
            </w:pPr>
            <w:r>
              <w:rPr>
                <w:lang w:val="de-DE"/>
              </w:rPr>
              <w:t xml:space="preserve">*</w:t>
            </w:r>
          </w:p>
        </w:tc>
      </w:tr>
    </w:tbl>
    <w:p>
      <w:pPr>
        <w:pStyle w:val="Heading1"/>
      </w:pPr>
      <w:bookmarkStart w:id="18" w:name="literatur"/>
      <w:r>
        <w:rPr>
          <w:lang w:val="de-DE"/>
        </w:rPr>
        <w:t xml:space="preserve">Literatur</w:t>
      </w:r>
      <w:bookmarkEnd w:id="18"/>
    </w:p>
    <w:p>
      <w:pPr>
        <w:pStyle w:val="Bibliography"/>
      </w:pPr>
      <w:bookmarkStart w:id="15" w:name="ref_smith2021"/>
      <w:bookmarkStart w:id="17" w:name="refs"/>
      <w:r>
        <w:rPr>
          <w:lang w:val="de-DE"/>
        </w:rPr>
        <w:t xml:space="preserve">[1]</w:t>
      </w:r>
      <w:r>
        <w:rPr>
          <w:lang w:val="de-DE"/>
        </w:rPr>
        <w:t xml:space="preserve"> </w:t>
      </w:r>
      <w:r>
        <w:t xml:space="preserve">	</w:t>
      </w:r>
      <w:r>
        <w:rPr>
          <w:lang w:val="de-DE"/>
        </w:rPr>
        <w:t xml:space="preserve">SMITH J, DOE J. Hedonic pricing of residential property[J]. Journal of Real Estate Research, 2021, 43(2): 101-125.</w:t>
      </w:r>
      <w:bookmarkEnd w:id="17"/>
      <w:bookmarkEnd w:id="15"/>
    </w:p>
    <w:p>
      <w:pPr>
        <w:pStyle w:val="Bibliography"/>
      </w:pPr>
      <w:bookmarkStart w:id="16" w:name="ref_zhang2024"/>
      <w:r>
        <w:rPr>
          <w:lang w:val="de-DE"/>
        </w:rPr>
        <w:t xml:space="preserve">[2]</w:t>
      </w:r>
      <w:r>
        <w:rPr>
          <w:lang w:val="de-DE"/>
        </w:rPr>
        <w:t xml:space="preserve"> </w:t>
      </w:r>
      <w:r>
        <w:t xml:space="preserve">	</w:t>
      </w:r>
      <w:r>
        <w:rPr>
          <w:rFonts w:hint="eastAsia"/>
          <w:lang w:val="de-DE"/>
        </w:rPr>
        <w:t xml:space="preserve">张三,</w:t>
      </w:r>
      <w:r>
        <w:rPr>
          <w:lang w:val="de-DE"/>
        </w:rPr>
        <w:t xml:space="preserve"> </w:t>
      </w:r>
      <w:r>
        <w:rPr>
          <w:rFonts w:hint="eastAsia"/>
          <w:lang w:val="de-DE"/>
        </w:rPr>
        <w:t xml:space="preserve">李四.</w:t>
      </w:r>
      <w:r>
        <w:rPr>
          <w:lang w:val="de-DE"/>
        </w:rPr>
        <w:t xml:space="preserve"> </w:t>
      </w:r>
      <w:r>
        <w:rPr>
          <w:rFonts w:hint="eastAsia"/>
          <w:lang w:val="de-DE"/>
        </w:rPr>
        <w:t xml:space="preserve">房地产估价中比较法修正系数的确定方法研究[J].</w:t>
      </w:r>
      <w:r>
        <w:rPr>
          <w:lang w:val="de-DE"/>
        </w:rPr>
        <w:t xml:space="preserve"> </w:t>
      </w:r>
      <w:r>
        <w:rPr>
          <w:rFonts w:hint="eastAsia"/>
          <w:lang w:val="de-DE"/>
        </w:rPr>
        <w:t xml:space="preserve">中国房地产估价与经纪,</w:t>
      </w:r>
      <w:r>
        <w:rPr>
          <w:lang w:val="de-DE"/>
        </w:rPr>
        <w:t xml:space="preserve"> 2024(3): 45-52.</w:t>
      </w:r>
      <w:bookmarkEnd w:id="16"/>
    </w:p>
    <w:sectPr>
      <w:headerReference w:type="default" r:id="rIdDfHeader1"/>
      <w:footerReference r:id="rIdDfFooter1" w:type="default"/>
      <w:footerReference w:type="first" r:id="rIdDfFooter1"/>
      <w:footnotePr>
        <w:numRestart w:val="eachSect"/>
      </w:footnotePr>
      <w:pgSz w:h="16838" w:w="11906"/>
      <w:pgMar w:bottom="1417" w:footer="709" w:gutter="0" w:header="851" w:left="1417" w:right="1417" w:top="1417"/>
      <w:cols w:space="425"/>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font>
  <w:font w:name="游明朝">
    <w:altName w:val="Yu Mincho"/>
    <w:panose1 w:val="02020400000000000000"/>
    <w:charset w:val="80"/>
    <w:family w:val="roman"/>
    <w:pitch w:val="variable"/>
  </w:font>
  <w:font w:name="游ゴシック">
    <w:altName w:val="Yu Gothic"/>
    <w:panose1 w:val="020B0400000000000000"/>
    <w:charset w:val="80"/>
    <w:family w:val="swiss"/>
    <w:pitch w:val="variable"/>
  </w:font>
  <w:font w:name="黑体">
    <w:altName w:val="SimHei"/>
    <w:panose1 w:val="02010609060101010101"/>
    <w:charset w:val="86"/>
    <w:family w:val="modern"/>
    <w:pitch w:val="variable"/>
  </w:font>
  <w:font w:name="楷体">
    <w:altName w:val="KaiTi"/>
    <w:panose1 w:val="02010609060101010101"/>
    <w:charset w:val="86"/>
    <w:family w:val="modern"/>
    <w:pitch w:val="fixed"/>
  </w:font>
  <w:font w:name="仿宋">
    <w:altName w:val="FangSong"/>
    <w:panose1 w:val="02010609060101010101"/>
    <w:charset w:val="86"/>
    <w:family w:val="modern"/>
    <w:pitch w:val="fixed"/>
  </w:font>
  <w:font w:name="微软雅黑">
    <w:altName w:val="Microsoft YaHei"/>
    <w:panose1 w:val="020B0503020204020204"/>
    <w:charset w:val="86"/>
    <w:family w:val="swiss"/>
    <w:pitch w:val="variable"/>
  </w:font>
  <w:font w:name="Consolas">
    <w:altName w:val="Menlo"/>
    <w:panose1 w:val="020B0609020204030204"/>
    <w:charset w:val="00"/>
    <w:family w:val="modern"/>
    <w:pitch w:val="fixed"/>
  </w:font>
  <w:font w:name="Arial">
    <w:altName w:val="Helvetica"/>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jc w:val="center"/>
    </w:pPr>
    <w:r>
      <w:rPr>
        <w:color w:val="6B7280"/>
        <w:sz w:val="18"/>
      </w:rPr>
      <w:fldChar w:fldCharType="begin"/>
    </w:r>
    <w:r>
      <w:rPr>
        <w:color w:val="6B7280"/>
        <w:sz w:val="18"/>
      </w:rPr>
      <w:instrText xml:space="preserve"> PAGE </w:instrText>
    </w:r>
    <w:r>
      <w:rPr>
        <w:color w:val="6B7280"/>
        <w:sz w:val="18"/>
      </w:rPr>
      <w:fldChar w:fldCharType="separate"/>
    </w:r>
    <w:r>
      <w:rPr>
        <w:color w:val="6B7280"/>
        <w:sz w:val="18"/>
      </w:rPr>
      <w:t>1</w:t>
    </w:r>
    <w:r>
      <w:rPr>
        <w:color w:val="6B7280"/>
        <w:sz w:val="18"/>
      </w:rPr>
      <w:fldChar w:fldCharType="end"/>
    </w:r>
    <w:r>
      <w:rPr>
        <w:color w:val="6B7280"/>
        <w:sz w:val="18"/>
      </w:rPr>
      <w:t xml:space="preserve"> / </w:t>
    </w:r>
    <w:r>
      <w:rPr>
        <w:color w:val="6B7280"/>
        <w:sz w:val="18"/>
      </w:rPr>
      <w:fldChar w:fldCharType="begin"/>
    </w:r>
    <w:r>
      <w:rPr>
        <w:color w:val="6B7280"/>
        <w:sz w:val="18"/>
      </w:rPr>
      <w:instrText xml:space="preserve"> NUMPAGES </w:instrText>
    </w:r>
    <w:r>
      <w:rPr>
        <w:color w:val="6B7280"/>
        <w:sz w:val="18"/>
      </w:rPr>
      <w:fldChar w:fldCharType="separate"/>
    </w:r>
    <w:r>
      <w:rPr>
        <w:color w:val="6B7280"/>
        <w:sz w:val="18"/>
      </w:rPr>
      <w:t>1</w:t>
    </w:r>
    <w:r>
      <w:rPr>
        <w:color w:val="6B7280"/>
        <w:sz w:val="18"/>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Bdr>
        <w:bottom w:val="single" w:sz="4" w:space="4" w:color="1A1A1A"/>
      </w:pBdr>
      <w:tabs>
        <w:tab w:val="right" w:pos="9071"/>
      </w:tabs>
      <w:spacing w:after="0"/>
      <w:jc w:val="left"/>
    </w:pPr>
    <w:r>
      <w:rPr>
        <w:color w:val="6B7280"/>
        <w:sz w:val="18"/>
        <w:szCs w:val="18"/>
      </w:rPr>
      <w:t xml:space="preserve">Räumliche Unterschiede der Wohnungspreise und ihre Bestimmungsfaktoren</w:t>
    </w:r>
    <w:r>
      <w:rPr>
        <w:color w:val="6B7280"/>
        <w:sz w:val="18"/>
        <w:szCs w:val="18"/>
      </w:rPr>
      <w:tab/>
    </w:r>
    <w:r>
      <w:rPr>
        <w:color w:val="6B7280"/>
        <w:sz w:val="18"/>
        <w:szCs w:val="18"/>
      </w:rPr>
      <w:fldChar w:fldCharType="begin"/>
    </w:r>
    <w:r>
      <w:rPr>
        <w:color w:val="6B7280"/>
        <w:sz w:val="18"/>
        <w:szCs w:val="18"/>
      </w:rPr>
      <w:instrText xml:space="preserve"> STYLEREF "heading 1" \* MERGEFORMAT </w:instrText>
    </w:r>
    <w:r>
      <w:rPr>
        <w:color w:val="6B7280"/>
        <w:sz w:val="18"/>
        <w:szCs w:val="18"/>
      </w:rPr>
      <w:fldChar w:fldCharType="separate"/>
    </w:r>
    <w:r>
      <w:rPr>
        <w:color w:val="6B7280"/>
        <w:sz w:val="18"/>
        <w:szCs w:val="18"/>
      </w:rPr>
      <w:t/>
    </w:r>
    <w:r>
      <w:rPr>
        <w:color w:val="6B7280"/>
        <w:sz w:val="18"/>
        <w:szCs w:val="18"/>
      </w:rPr>
      <w:fldChar w:fldCharType="end"/>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doNotExpandShiftReturn/>
  </w:compat>
  <w:rsids>
  </w:rsids>
  <w:themeFontLang w:eastAsia="zh-CN" w:val="de-DE"/>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宋体" w:hAnsi="Times New Roman" w:hint="eastAsia"/>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0" w:line="435" w:lineRule="atLeast"/>
      <w:jc w:val="both"/>
    </w:pPr>
    <w:rPr>
      <w:rFonts w:ascii="Times New Roman" w:cs="Times New Roman" w:eastAsia="宋体" w:hAnsi="Times New Roman" w:hint="eastAsia"/>
      <w:color w:val="222222"/>
      <w:kern w:val="0"/>
      <w:sz w:val="24"/>
      <w:szCs w:val="24"/>
      <w:lang w:eastAsia="zh-CN" w:val="de-DE"/>
    </w:rPr>
  </w:style>
  <w:style w:styleId="BodyText" w:type="paragraph">
    <w:name w:val="Body Text"/>
    <w:basedOn w:val="Normal"/>
    <w:next w:val="BodyText"/>
    <w:link w:val="BodyTextChar"/>
    <w:qFormat/>
    <w:pPr>
      <w:spacing w:after="120" w:before="60"/>
      <w:ind w:firstLine="420" w:firstLineChars="200"/>
    </w:pPr>
  </w:style>
  <w:style w:styleId="FirstParagraph" w:type="paragraph">
    <w:name w:val="First Paragraph"/>
    <w:basedOn w:val="BodyText"/>
    <w:next w:val="BodyText"/>
    <w:qFormat/>
  </w:style>
  <w:style w:styleId="Compact" w:type="paragraph">
    <w:name w:val="Compact"/>
    <w:basedOn w:val="BodyText"/>
    <w:qFormat/>
    <w:pPr>
      <w:spacing w:after="20" w:before="20" w:line="300" w:lineRule="auto"/>
      <w:ind w:firstLine="0" w:firstLineChars="0"/>
      <w:jc w:val="left"/>
    </w:pPr>
  </w:style>
  <w:style w:styleId="Title" w:type="paragraph">
    <w:name w:val="Title"/>
    <w:basedOn w:val="Normal"/>
    <w:next w:val="BodyText"/>
    <w:qFormat/>
    <w:pPr>
      <w:spacing w:after="120" w:before="240" w:line="240" w:lineRule="auto"/>
      <w:jc w:val="center"/>
    </w:pPr>
    <w:rPr>
      <w:rFonts w:ascii="Arial" w:cs="Arial" w:eastAsia="黑体" w:hAnsi="Arial" w:hint="eastAsia"/>
      <w:b/>
      <w:bCs/>
      <w:color w:val="000000"/>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spacing w:after="160" w:before="0"/>
      <w:jc w:val="center"/>
    </w:pPr>
    <w:rPr>
      <w:rFonts w:ascii="Arial" w:cs="Arial" w:eastAsia="黑体" w:hAnsi="Arial" w:hint="eastAsia"/>
      <w:color w:val="6B7280"/>
      <w:sz w:val="30"/>
      <w:szCs w:val="3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styleId="Author" w:type="paragraph">
    <w:name w:val="Author"/>
    <w:basedOn w:val="Normal"/>
    <w:next w:val="BodyText"/>
    <w:qFormat/>
    <w:pPr>
      <w:spacing w:after="40"/>
      <w:jc w:val="center"/>
    </w:pPr>
    <w:rPr>
      <w:color w:val="6B7280"/>
    </w:rPr>
  </w:style>
  <w:style w:styleId="Date" w:type="paragraph">
    <w:name w:val="Date"/>
    <w:basedOn w:val="Normal"/>
    <w:next w:val="BodyText"/>
    <w:qFormat/>
    <w:pPr>
      <w:pBdr>
        <w:bottom w:color="000000" w:space="8" w:sz="8" w:val="single"/>
      </w:pBdr>
      <w:spacing w:after="240"/>
      <w:jc w:val="center"/>
    </w:pPr>
    <w:rPr>
      <w:color w:val="6B7280"/>
      <w:sz w:val="22"/>
    </w:rPr>
  </w:style>
  <w:style w:styleId="AbstractTitle" w:type="paragraph">
    <w:name w:val="Abstract Title"/>
    <w:basedOn w:val="Normal"/>
    <w:next w:val="Abstract"/>
    <w:qFormat/>
    <w:pPr>
      <w:keepNext/>
      <w:spacing w:after="60" w:before="200"/>
      <w:jc w:val="center"/>
    </w:pPr>
    <w:rPr>
      <w:rFonts w:ascii="Arial" w:cs="Arial" w:eastAsia="黑体" w:hAnsi="Arial" w:hint="eastAsia"/>
      <w:b/>
      <w:color w:val="000000"/>
    </w:rPr>
  </w:style>
  <w:style w:styleId="Abstract" w:type="paragraph">
    <w:name w:val="Abstract"/>
    <w:basedOn w:val="Normal"/>
    <w:next w:val="BodyText"/>
    <w:qFormat/>
    <w:pPr>
      <w:spacing w:after="200" w:before="60"/>
      <w:ind w:left="567" w:right="567"/>
    </w:pPr>
    <w:rPr>
      <w:color w:val="6B7280"/>
      <w:sz w:val="23"/>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60" w:before="360" w:line="300" w:lineRule="auto"/>
      <w:ind w:firstLine="0" w:firstLineChars="0"/>
      <w:jc w:val="left"/>
      <w:outlineLvl w:val="0"/>
    </w:pPr>
    <w:rPr>
      <w:rFonts w:ascii="Arial" w:cs="Arial" w:eastAsia="黑体" w:hAnsi="Arial" w:hint="eastAsia"/>
      <w:b/>
      <w:bCs/>
      <w:color w:val="000000"/>
      <w:sz w:val="32"/>
      <w:szCs w:val="32"/>
    </w:rPr>
  </w:style>
  <w:style w:styleId="Heading2" w:type="paragraph">
    <w:name w:val="heading 2"/>
    <w:basedOn w:val="Normal"/>
    <w:next w:val="BodyText"/>
    <w:link w:val="Heading2Char"/>
    <w:uiPriority w:val="9"/>
    <w:qFormat/>
    <w:pPr>
      <w:keepNext/>
      <w:keepLines/>
      <w:spacing w:after="120" w:before="280" w:line="300" w:lineRule="auto"/>
      <w:ind w:firstLine="0" w:firstLineChars="0"/>
      <w:jc w:val="left"/>
      <w:outlineLvl w:val="1"/>
    </w:pPr>
    <w:rPr>
      <w:rFonts w:ascii="Arial" w:cs="Arial" w:eastAsia="黑体" w:hAnsi="Arial" w:hint="eastAsia"/>
      <w:b/>
      <w:bCs/>
      <w:color w:val="000000"/>
      <w:sz w:val="28"/>
      <w:szCs w:val="28"/>
    </w:rPr>
  </w:style>
  <w:style w:styleId="Heading3" w:type="paragraph">
    <w:name w:val="heading 3"/>
    <w:basedOn w:val="Normal"/>
    <w:next w:val="BodyText"/>
    <w:link w:val="Heading3Char"/>
    <w:uiPriority w:val="9"/>
    <w:qFormat/>
    <w:pPr>
      <w:keepNext/>
      <w:keepLines/>
      <w:spacing w:after="100" w:before="220" w:line="300" w:lineRule="auto"/>
      <w:ind w:firstLine="0" w:firstLineChars="0"/>
      <w:jc w:val="left"/>
      <w:outlineLvl w:val="2"/>
    </w:pPr>
    <w:rPr>
      <w:rFonts w:ascii="Arial" w:cs="Arial" w:eastAsia="黑体" w:hAnsi="Arial" w:hint="eastAsia"/>
      <w:b/>
      <w:bCs/>
      <w:color w:val="000000"/>
      <w:sz w:val="26"/>
      <w:szCs w:val="26"/>
    </w:rPr>
  </w:style>
  <w:style w:styleId="Heading4" w:type="paragraph">
    <w:name w:val="heading 4"/>
    <w:basedOn w:val="Normal"/>
    <w:next w:val="BodyText"/>
    <w:link w:val="Heading4Char"/>
    <w:uiPriority w:val="9"/>
    <w:qFormat/>
    <w:pPr>
      <w:keepNext/>
      <w:keepLines/>
      <w:spacing w:after="80" w:before="180" w:line="300" w:lineRule="auto"/>
      <w:ind w:firstLine="0" w:firstLineChars="0"/>
      <w:jc w:val="left"/>
      <w:outlineLvl w:val="3"/>
    </w:pPr>
    <w:rPr>
      <w:rFonts w:ascii="Arial" w:cs="Arial" w:eastAsia="黑体" w:hAnsi="Arial" w:hint="eastAsia"/>
      <w:b/>
      <w:bCs/>
      <w:color w:val="000000"/>
      <w:sz w:val="24"/>
      <w:szCs w:val="24"/>
    </w:rPr>
  </w:style>
  <w:style w:styleId="Heading5" w:type="paragraph">
    <w:name w:val="heading 5"/>
    <w:basedOn w:val="Normal"/>
    <w:next w:val="BodyText"/>
    <w:link w:val="Heading5Char"/>
    <w:uiPriority w:val="9"/>
    <w:qFormat/>
    <w:pPr>
      <w:keepNext/>
      <w:keepLines/>
      <w:spacing w:after="60" w:before="160" w:line="300" w:lineRule="auto"/>
      <w:ind w:firstLine="0" w:firstLineChars="0"/>
      <w:jc w:val="left"/>
      <w:outlineLvl w:val="4"/>
    </w:pPr>
    <w:rPr>
      <w:rFonts w:ascii="Arial" w:cs="Arial" w:eastAsia="黑体" w:hAnsi="Arial" w:hint="eastAsia"/>
      <w:b/>
      <w:bCs/>
      <w:color w:val="222222"/>
      <w:sz w:val="24"/>
      <w:szCs w:val="24"/>
    </w:rPr>
  </w:style>
  <w:style w:styleId="Heading6" w:type="paragraph">
    <w:name w:val="heading 6"/>
    <w:basedOn w:val="Normal"/>
    <w:next w:val="BodyText"/>
    <w:link w:val="Heading6Char"/>
    <w:uiPriority w:val="9"/>
    <w:qFormat/>
    <w:pPr>
      <w:keepNext/>
      <w:keepLines/>
      <w:spacing w:after="60" w:before="160" w:line="300" w:lineRule="auto"/>
      <w:ind w:firstLine="0" w:firstLineChars="0"/>
      <w:jc w:val="left"/>
      <w:outlineLvl w:val="5"/>
    </w:pPr>
    <w:rPr>
      <w:rFonts w:ascii="Arial" w:cs="Arial" w:eastAsia="黑体" w:hAnsi="Arial" w:hint="eastAsia"/>
      <w:b/>
      <w:bCs/>
      <w:color w:val="222222"/>
      <w:sz w:val="24"/>
      <w:szCs w:val="24"/>
    </w:rPr>
  </w:style>
  <w:style w:styleId="Heading7" w:type="paragraph">
    <w:name w:val="heading 7"/>
    <w:basedOn w:val="Normal"/>
    <w:next w:val="BodyText"/>
    <w:link w:val="Heading7Char"/>
    <w:uiPriority w:val="9"/>
    <w:qFormat/>
    <w:pPr>
      <w:keepNext/>
      <w:keepLines/>
      <w:spacing w:after="60" w:before="120" w:line="300" w:lineRule="auto"/>
      <w:ind w:firstLine="0" w:firstLineChars="0"/>
      <w:jc w:val="left"/>
      <w:outlineLvl w:val="6"/>
    </w:pPr>
    <w:rPr>
      <w:rFonts w:ascii="Arial" w:cs="Arial" w:eastAsia="黑体" w:hAnsi="Arial" w:hint="eastAsia"/>
      <w:b/>
      <w:bCs/>
      <w:color w:val="222222"/>
      <w:sz w:val="24"/>
      <w:szCs w:val="24"/>
    </w:rPr>
  </w:style>
  <w:style w:styleId="Heading8" w:type="paragraph">
    <w:name w:val="heading 8"/>
    <w:basedOn w:val="Normal"/>
    <w:next w:val="BodyText"/>
    <w:link w:val="Heading8Char"/>
    <w:uiPriority w:val="9"/>
    <w:qFormat/>
    <w:pPr>
      <w:keepNext/>
      <w:keepLines/>
      <w:spacing w:after="60" w:before="120" w:line="300" w:lineRule="auto"/>
      <w:ind w:firstLine="0" w:firstLineChars="0"/>
      <w:jc w:val="left"/>
      <w:outlineLvl w:val="7"/>
    </w:pPr>
    <w:rPr>
      <w:rFonts w:ascii="Arial" w:cs="Arial" w:eastAsia="黑体" w:hAnsi="Arial" w:hint="eastAsia"/>
      <w:b/>
      <w:bCs/>
      <w:color w:val="222222"/>
      <w:sz w:val="24"/>
      <w:szCs w:val="24"/>
    </w:rPr>
  </w:style>
  <w:style w:styleId="Heading9" w:type="paragraph">
    <w:name w:val="heading 9"/>
    <w:basedOn w:val="Normal"/>
    <w:next w:val="BodyText"/>
    <w:link w:val="Heading9Char"/>
    <w:uiPriority w:val="9"/>
    <w:qFormat/>
    <w:pPr>
      <w:keepNext/>
      <w:keepLines/>
      <w:spacing w:after="60" w:before="120" w:line="300" w:lineRule="auto"/>
      <w:ind w:firstLine="0" w:firstLineChars="0"/>
      <w:jc w:val="left"/>
      <w:outlineLvl w:val="8"/>
    </w:pPr>
    <w:rPr>
      <w:rFonts w:ascii="Arial" w:cs="Arial" w:eastAsia="黑体" w:hAnsi="Arial" w:hint="eastAsia"/>
      <w:b/>
      <w:bCs/>
      <w:color w:val="222222"/>
      <w:sz w:val="24"/>
      <w:szCs w:val="24"/>
    </w:rPr>
  </w:style>
  <w:style w:customStyle="1" w:styleId="Heading1Char" w:type="character">
    <w:name w:val="Heading 1 Char"/>
    <w:rPr>
      <w:rFonts w:ascii="Arial" w:cs="Arial" w:eastAsia="黑体" w:hAnsi="Arial" w:hint="eastAsia"/>
      <w:b/>
      <w:bCs/>
      <w:color w:val="000000"/>
      <w:sz w:val="32"/>
    </w:rPr>
  </w:style>
  <w:style w:customStyle="1" w:styleId="Heading2Char" w:type="character">
    <w:name w:val="Heading 2 Char"/>
    <w:rPr>
      <w:rFonts w:ascii="Arial" w:cs="Arial" w:eastAsia="黑体" w:hAnsi="Arial" w:hint="eastAsia"/>
      <w:b/>
      <w:bCs/>
      <w:color w:val="000000"/>
      <w:sz w:val="28"/>
    </w:rPr>
  </w:style>
  <w:style w:customStyle="1" w:styleId="Heading3Char" w:type="character">
    <w:name w:val="Heading 3 Char"/>
    <w:rPr>
      <w:rFonts w:ascii="Arial" w:cs="Arial" w:eastAsia="黑体" w:hAnsi="Arial" w:hint="eastAsia"/>
      <w:b/>
      <w:bCs/>
      <w:color w:val="000000"/>
      <w:sz w:val="26"/>
    </w:rPr>
  </w:style>
  <w:style w:customStyle="1" w:styleId="Heading4Char" w:type="character">
    <w:name w:val="Heading 4 Char"/>
    <w:rPr>
      <w:rFonts w:ascii="Arial" w:cs="Arial" w:eastAsia="黑体" w:hAnsi="Arial" w:hint="eastAsia"/>
      <w:b/>
      <w:bCs/>
      <w:color w:val="000000"/>
      <w:sz w:val="24"/>
    </w:rPr>
  </w:style>
  <w:style w:customStyle="1" w:styleId="Heading5Char" w:type="character">
    <w:name w:val="Heading 5 Char"/>
    <w:rPr>
      <w:rFonts w:ascii="Arial" w:cs="Arial" w:eastAsia="黑体" w:hAnsi="Arial" w:hint="eastAsia"/>
      <w:b/>
      <w:bCs/>
      <w:color w:val="222222"/>
      <w:sz w:val="24"/>
    </w:rPr>
  </w:style>
  <w:style w:customStyle="1" w:styleId="Heading6Char" w:type="character">
    <w:name w:val="Heading 6 Char"/>
    <w:rPr>
      <w:rFonts w:ascii="Arial" w:cs="Arial" w:eastAsia="黑体" w:hAnsi="Arial" w:hint="eastAsia"/>
      <w:b/>
      <w:bCs/>
      <w:color w:val="222222"/>
      <w:sz w:val="24"/>
    </w:rPr>
  </w:style>
  <w:style w:customStyle="1" w:styleId="Heading7Char" w:type="character">
    <w:name w:val="Heading 7 Char"/>
    <w:rPr>
      <w:rFonts w:ascii="Arial" w:cs="Arial" w:eastAsia="黑体" w:hAnsi="Arial" w:hint="eastAsia"/>
      <w:b/>
      <w:bCs/>
      <w:color w:val="222222"/>
      <w:sz w:val="24"/>
    </w:rPr>
  </w:style>
  <w:style w:customStyle="1" w:styleId="Heading8Char" w:type="character">
    <w:name w:val="Heading 8 Char"/>
    <w:rPr>
      <w:rFonts w:ascii="Arial" w:cs="Arial" w:eastAsia="黑体" w:hAnsi="Arial" w:hint="eastAsia"/>
      <w:b/>
      <w:bCs/>
      <w:color w:val="222222"/>
      <w:sz w:val="24"/>
    </w:rPr>
  </w:style>
  <w:style w:customStyle="1" w:styleId="Heading9Char" w:type="character">
    <w:name w:val="Heading 9 Char"/>
    <w:rPr>
      <w:rFonts w:ascii="Arial" w:cs="Arial" w:eastAsia="黑体" w:hAnsi="Arial" w:hint="eastAsia"/>
      <w:b/>
      <w:bCs/>
      <w:color w:val="222222"/>
      <w:sz w:val="24"/>
    </w:rPr>
  </w:style>
  <w:style w:styleId="BlockText" w:type="paragraph">
    <w:name w:val="Block Text"/>
    <w:basedOn w:val="BodyText"/>
    <w:next w:val="BodyText"/>
    <w:qFormat/>
    <w:pPr>
      <w:pBdr>
        <w:left w:color="000000" w:space="8" w:sz="18" w:val="single"/>
      </w:pBdr>
      <w:shd w:color="auto" w:fill="E0E0E0" w:val="clear"/>
      <w:spacing w:after="60" w:before="60"/>
      <w:ind w:firstLine="0" w:firstLineChars="0" w:left="300" w:right="200"/>
    </w:pPr>
    <w:rPr>
      <w:color w:val="6B7280"/>
    </w:rPr>
  </w:style>
  <w:style w:styleId="FootnoteText" w:type="paragraph">
    <w:name w:val="footnote text"/>
    <w:basedOn w:val="Normal"/>
    <w:qFormat/>
    <w:pPr>
      <w:spacing w:after="40" w:line="260" w:lineRule="auto"/>
    </w:pPr>
    <w:rPr>
      <w:sz w:val="20"/>
      <w:szCs w:val="20"/>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style>
  <w:style w:customStyle="1" w:styleId="DefinitionTerm" w:type="paragraph">
    <w:name w:val="Definition Term"/>
    <w:basedOn w:val="Normal"/>
    <w:next w:val="Definition"/>
    <w:qFormat/>
    <w:pPr>
      <w:keepNext/>
      <w:spacing w:after="0" w:before="80"/>
      <w:ind w:firstLine="0" w:firstLineChars="0"/>
    </w:pPr>
    <w:rPr>
      <w:rFonts w:ascii="Arial" w:cs="Arial" w:eastAsia="黑体" w:hAnsi="Arial" w:hint="eastAsia"/>
      <w:b/>
      <w:color w:val="000000"/>
    </w:rPr>
  </w:style>
  <w:style w:customStyle="1" w:styleId="Definition" w:type="paragraph">
    <w:name w:val="Definition"/>
    <w:basedOn w:val="Normal"/>
    <w:qFormat/>
    <w:pPr>
      <w:spacing w:after="80" w:before="0"/>
      <w:ind w:firstLine="0" w:firstLineChars="0" w:left="420"/>
    </w:pPr>
  </w:style>
  <w:style w:styleId="Caption" w:type="paragraph">
    <w:name w:val="caption"/>
    <w:basedOn w:val="Normal"/>
    <w:next w:val="BodyText"/>
    <w:qFormat/>
    <w:pPr>
      <w:spacing w:after="200" w:before="60"/>
      <w:ind w:firstLine="0" w:firstLineChars="0"/>
      <w:jc w:val="center"/>
    </w:pPr>
    <w:rPr>
      <w:color w:val="6B7280"/>
      <w:sz w:val="21"/>
      <w:szCs w:val="21"/>
    </w:rPr>
  </w:style>
  <w:style w:customStyle="1" w:styleId="TableCaption" w:type="paragraph">
    <w:name w:val="Table Caption"/>
    <w:basedOn w:val="Caption"/>
    <w:qFormat/>
    <w:pPr>
      <w:keepNext/>
      <w:spacing w:after="80" w:before="200"/>
      <w:jc w:val="center"/>
    </w:pPr>
  </w:style>
  <w:style w:customStyle="1" w:styleId="ImageCaption" w:type="paragraph">
    <w:name w:val="Image Caption"/>
    <w:basedOn w:val="Caption"/>
    <w:qFormat/>
  </w:style>
  <w:style w:customStyle="1" w:styleId="Figure" w:type="paragraph">
    <w:name w:val="Figure"/>
    <w:basedOn w:val="Normal"/>
    <w:qFormat/>
    <w:pPr>
      <w:spacing w:after="60" w:before="120" w:line="240" w:lineRule="auto"/>
      <w:ind w:firstLine="0" w:firstLineChars="0"/>
      <w:jc w:val="center"/>
    </w:pPr>
  </w:style>
  <w:style w:customStyle="1" w:styleId="CaptionedFigure" w:type="paragraph">
    <w:name w:val="Captioned Figure"/>
    <w:basedOn w:val="Figure"/>
    <w:qFormat/>
    <w:pPr>
      <w:keepNext/>
    </w:pPr>
  </w:style>
  <w:style w:customStyle="1" w:styleId="BodyTextChar" w:type="character">
    <w:name w:val="Body Text Char"/>
    <w:rPr/>
  </w:style>
  <w:style w:customStyle="1" w:styleId="VerbatimChar" w:type="character">
    <w:name w:val="Verbatim Char"/>
    <w:rPr>
      <w:rFonts w:ascii="Consolas" w:cs="Consolas" w:eastAsia="黑体" w:hAnsi="Consolas" w:hint="eastAsia"/>
      <w:sz w:val="22"/>
      <w:shd w:color="auto" w:fill="F6F8FA" w:val="clear"/>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rPr>
      <w:color w:val="333333"/>
      <w:u w:val="single"/>
    </w:rPr>
  </w:style>
  <w:style w:styleId="TOCHeading" w:type="paragraph">
    <w:name w:val="TOC Heading"/>
    <w:basedOn w:val="Heading1"/>
    <w:next w:val="BodyText"/>
    <w:qFormat/>
    <w:pPr>
      <w:pBdr/>
      <w:jc w:val="center"/>
      <w:outlineLvl w:val="9"/>
    </w:pPr>
  </w:style>
  <w:style w:customStyle="1" w:styleId="DFTableText" w:type="paragraph">
    <w:name w:val="Table Text"/>
    <w:basedOn w:val="Compact"/>
    <w:qFormat/>
    <w:pPr>
      <w:spacing w:after="20" w:before="20" w:line="408" w:lineRule="atLeast"/>
    </w:pPr>
    <w:rPr>
      <w:sz w:val="22"/>
      <w:szCs w:val="22"/>
    </w:rPr>
  </w:style>
  <w:style w:customStyle="1" w:styleId="SourceCode" w:type="paragraph">
    <w:name w:val="Source Code"/>
    <w:basedOn w:val="Normal"/>
    <w:qFormat/>
    <w:pPr>
      <w:pBdr>
        <w:top w:color="000000" w:space="4" w:sz="4" w:val="single"/>
        <w:left w:color="000000" w:space="4" w:sz="4" w:val="single"/>
        <w:bottom w:color="000000" w:space="4" w:sz="4" w:val="single"/>
        <w:right w:color="000000" w:space="4" w:sz="4" w:val="single"/>
      </w:pBdr>
      <w:shd w:color="auto" w:fill="F6F8FA" w:val="clear"/>
      <w:wordWrap w:val="0"/>
      <w:spacing w:after="120" w:before="120" w:line="260" w:lineRule="auto"/>
      <w:jc w:val="left"/>
    </w:pPr>
    <w:rPr>
      <w:rFonts w:ascii="Consolas" w:cs="Consolas" w:eastAsia="黑体" w:hAnsi="Consolas" w:hint="eastAsia"/>
      <w:sz w:val="21"/>
    </w:rPr>
  </w:style>
  <w:style w:customStyle="1" w:styleId="DFEquation" w:type="paragraph">
    <w:name w:val="DF Equation"/>
    <w:basedOn w:val="Normal"/>
    <w:qFormat/>
    <w:pPr>
      <w:keepLines/>
      <w:tabs>
        <w:tab w:pos="4535" w:val="center"/>
        <w:tab w:pos="9071" w:val="right"/>
      </w:tabs>
      <w:spacing w:after="120" w:before="120" w:line="240" w:lineRule="auto"/>
      <w:ind w:firstLine="0" w:firstLineChars="0"/>
      <w:jc w:val="left"/>
    </w:pPr>
  </w:style>
  <w:style w:styleId="TOC1" w:type="paragraph">
    <w:name w:val="toc 1"/>
    <w:basedOn w:val="Normal"/>
    <w:next w:val="BodyText"/>
    <w:qFormat/>
    <w:pPr>
      <w:spacing w:after="40" w:before="40"/>
      <w:ind w:left="0"/>
    </w:pPr>
    <w:rPr>
      <w:b/>
    </w:rPr>
  </w:style>
  <w:style w:styleId="TOC2" w:type="paragraph">
    <w:name w:val="toc 2"/>
    <w:basedOn w:val="Normal"/>
    <w:next w:val="BodyText"/>
    <w:qFormat/>
    <w:pPr>
      <w:spacing w:after="40" w:before="40"/>
      <w:ind w:left="420"/>
    </w:pPr>
  </w:style>
  <w:style w:styleId="TOC3" w:type="paragraph">
    <w:name w:val="toc 3"/>
    <w:basedOn w:val="Normal"/>
    <w:next w:val="BodyText"/>
    <w:qFormat/>
    <w:pPr>
      <w:spacing w:after="40" w:before="40"/>
      <w:ind w:left="840"/>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DfFooter1" Target="footer1.xml" Type="http://schemas.openxmlformats.org/officeDocument/2006/relationships/footer" /><Relationship Type="http://schemas.openxmlformats.org/officeDocument/2006/relationships/header" Id="rIdDfHeader1" Target="head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Räumliche Unterschiede der Wohnungspreise und ihre Bestimmungsfaktoren</dc:title>
  <dc:creator>Ming Wang, Hua Li</dc:creator>
  <dc:language>de-DE</dc:language>
  <cp:keywords/>
  <dcterms:created xsi:type="dcterms:W3CDTF">2026-10-27T10:31:10Z</dcterms:created>
  <dcterms:modified xsi:type="dcterms:W3CDTF">2026-10-27T10:31:10Z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Auf Grundlage von Wohnungstransaktionen aus 36 Städten zwischen 2020 und 2025 schätzen wir ein hedonisches Preismodell mit Lage, Infrastruktur und Gebäudealter. Eine um eine Standardabweichung bessere Anbindung an den Schienenverkehr erhöht den Quadratmeterpreis um etwa 6,8 %.</vt:lpwstr>
  </property>
  <property fmtid="{D5CDD505-2E9C-101B-9397-08002B2CF9AE}" pid="3" name="abstract-title">
    <vt:lpwstr>Zusammenfassung</vt:lpwstr>
  </property>
  <property fmtid="{D5CDD505-2E9C-101B-9397-08002B2CF9AE}" pid="4" name="bibliography">
    <vt:lpwstr/>
  </property>
  <property fmtid="{D5CDD505-2E9C-101B-9397-08002B2CF9AE}" pid="5" name="csl">
    <vt:lpwstr>/Users/arthur/business-os/md-to-pdf-word/src/docforge/assets/csl/gb-t-7714-2015-numeric.csl</vt:lpwstr>
  </property>
  <property fmtid="{D5CDD505-2E9C-101B-9397-08002B2CF9AE}" pid="6" name="date">
    <vt:lpwstr>September 2026</vt:lpwstr>
  </property>
  <property fmtid="{D5CDD505-2E9C-101B-9397-08002B2CF9AE}" pid="7" name="link-citations">
    <vt:lpwstr>True</vt:lpwstr>
  </property>
</Properties>
</file>